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08" w:rsidRPr="00443366" w:rsidRDefault="005E1508" w:rsidP="005E1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1</w:t>
      </w:r>
    </w:p>
    <w:p w:rsidR="005E1508" w:rsidRPr="00443366" w:rsidRDefault="005E1508" w:rsidP="005E1508">
      <w:pPr>
        <w:rPr>
          <w:rFonts w:ascii="Times New Roman" w:hAnsi="Times New Roman"/>
          <w:sz w:val="24"/>
          <w:szCs w:val="24"/>
        </w:rPr>
      </w:pPr>
    </w:p>
    <w:p w:rsidR="005E1508" w:rsidRPr="00443366" w:rsidRDefault="005E1508" w:rsidP="005E1508">
      <w:pPr>
        <w:rPr>
          <w:rFonts w:ascii="Times New Roman" w:hAnsi="Times New Roman"/>
          <w:sz w:val="24"/>
          <w:szCs w:val="24"/>
        </w:rPr>
      </w:pPr>
      <w:r w:rsidRPr="0044336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5AFF3E00" wp14:editId="0CFA5E7E">
            <wp:extent cx="3486150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" r="32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366">
        <w:rPr>
          <w:rFonts w:ascii="Times New Roman" w:hAnsi="Times New Roman"/>
          <w:sz w:val="24"/>
          <w:szCs w:val="24"/>
        </w:rPr>
        <w:t xml:space="preserve">       </w:t>
      </w:r>
      <w:r w:rsidRPr="0044336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7C07CF1A" wp14:editId="52A115A6">
            <wp:extent cx="222885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532" b="14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08" w:rsidRPr="00443366" w:rsidRDefault="005E1508" w:rsidP="005E1508">
      <w:pPr>
        <w:rPr>
          <w:rFonts w:ascii="Times New Roman" w:hAnsi="Times New Roman"/>
          <w:sz w:val="24"/>
          <w:szCs w:val="24"/>
        </w:rPr>
      </w:pPr>
      <w:r w:rsidRPr="00443366">
        <w:rPr>
          <w:rFonts w:ascii="Times New Roman" w:hAnsi="Times New Roman"/>
          <w:sz w:val="24"/>
          <w:szCs w:val="24"/>
        </w:rPr>
        <w:t>Diabetes as % of total inappropriate hospital admissions</w:t>
      </w:r>
      <w:r>
        <w:rPr>
          <w:rFonts w:ascii="Times New Roman" w:hAnsi="Times New Roman"/>
          <w:sz w:val="24"/>
          <w:szCs w:val="24"/>
        </w:rPr>
        <w:t xml:space="preserve">/ </w:t>
      </w:r>
      <w:r w:rsidRPr="00443366">
        <w:rPr>
          <w:rFonts w:ascii="Times New Roman" w:hAnsi="Times New Roman"/>
          <w:sz w:val="24"/>
          <w:szCs w:val="24"/>
        </w:rPr>
        <w:t>Cost of inappropriate diabetic admissions</w:t>
      </w:r>
    </w:p>
    <w:p w:rsidR="001B6D29" w:rsidRDefault="001B6D29"/>
    <w:p w:rsidR="005E1508" w:rsidRPr="00443366" w:rsidRDefault="005E1508" w:rsidP="005E1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</w:t>
      </w:r>
      <w:r>
        <w:rPr>
          <w:rFonts w:ascii="Times New Roman" w:hAnsi="Times New Roman"/>
          <w:sz w:val="24"/>
          <w:szCs w:val="24"/>
        </w:rPr>
        <w:t>2</w:t>
      </w:r>
      <w:r w:rsidRPr="00443366">
        <w:rPr>
          <w:rFonts w:ascii="Times New Roman" w:hAnsi="Times New Roman"/>
          <w:sz w:val="24"/>
          <w:szCs w:val="24"/>
        </w:rPr>
        <w:t xml:space="preserve"> </w:t>
      </w:r>
    </w:p>
    <w:p w:rsidR="005E1508" w:rsidRPr="00443366" w:rsidRDefault="005E1508" w:rsidP="005E1508">
      <w:pPr>
        <w:rPr>
          <w:rFonts w:ascii="Times New Roman" w:hAnsi="Times New Roman"/>
          <w:noProof/>
          <w:sz w:val="24"/>
          <w:szCs w:val="24"/>
        </w:rPr>
      </w:pPr>
      <w:r w:rsidRPr="00443366">
        <w:rPr>
          <w:rFonts w:ascii="Times New Roman" w:hAnsi="Times New Roman"/>
          <w:b/>
          <w:sz w:val="24"/>
          <w:szCs w:val="24"/>
        </w:rPr>
        <w:tab/>
      </w:r>
      <w:r w:rsidRPr="0044336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0F38A913" wp14:editId="0BBAEA7D">
            <wp:extent cx="5943600" cy="247650"/>
            <wp:effectExtent l="0" t="0" r="0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58" t="55659" r="11499" b="39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08" w:rsidRPr="00443366" w:rsidRDefault="005E1508" w:rsidP="005E1508">
      <w:pPr>
        <w:rPr>
          <w:rFonts w:ascii="Times New Roman" w:hAnsi="Times New Roman"/>
          <w:sz w:val="24"/>
          <w:szCs w:val="24"/>
        </w:rPr>
      </w:pPr>
      <w:r w:rsidRPr="0044336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1CC273D0" wp14:editId="6AE1A117">
            <wp:extent cx="5943600" cy="7048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2" t="65256" r="11685" b="20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08" w:rsidRPr="005E1508" w:rsidRDefault="005E1508" w:rsidP="005E1508">
      <w:pPr>
        <w:rPr>
          <w:rFonts w:ascii="Times New Roman" w:hAnsi="Times New Roman"/>
          <w:sz w:val="24"/>
          <w:szCs w:val="24"/>
        </w:rPr>
      </w:pPr>
      <w:r w:rsidRPr="005E1508">
        <w:rPr>
          <w:rFonts w:ascii="Times New Roman" w:hAnsi="Times New Roman"/>
          <w:sz w:val="24"/>
          <w:szCs w:val="24"/>
        </w:rPr>
        <w:t>Rate of inappropr</w:t>
      </w:r>
      <w:r>
        <w:rPr>
          <w:rFonts w:ascii="Times New Roman" w:hAnsi="Times New Roman"/>
          <w:sz w:val="24"/>
          <w:szCs w:val="24"/>
        </w:rPr>
        <w:t>iate admissions for d</w:t>
      </w:r>
      <w:r w:rsidRPr="005E1508">
        <w:rPr>
          <w:rFonts w:ascii="Times New Roman" w:hAnsi="Times New Roman"/>
          <w:sz w:val="24"/>
          <w:szCs w:val="24"/>
        </w:rPr>
        <w:t>iabetes over time by SHA Cluster</w:t>
      </w:r>
    </w:p>
    <w:p w:rsidR="005E1508" w:rsidRDefault="005E1508"/>
    <w:p w:rsidR="005E1508" w:rsidRPr="00443366" w:rsidRDefault="005E1508" w:rsidP="005E15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Table 3</w:t>
      </w:r>
    </w:p>
    <w:p w:rsidR="005E1508" w:rsidRPr="00443366" w:rsidRDefault="005E1508" w:rsidP="005E1508">
      <w:pPr>
        <w:rPr>
          <w:rFonts w:ascii="Times New Roman" w:hAnsi="Times New Roman"/>
          <w:sz w:val="24"/>
          <w:szCs w:val="24"/>
        </w:rPr>
      </w:pPr>
    </w:p>
    <w:p w:rsidR="005E1508" w:rsidRPr="00443366" w:rsidRDefault="005E1508" w:rsidP="005E1508">
      <w:pPr>
        <w:rPr>
          <w:rFonts w:ascii="Times New Roman" w:hAnsi="Times New Roman"/>
          <w:sz w:val="24"/>
          <w:szCs w:val="24"/>
        </w:rPr>
      </w:pPr>
      <w:r w:rsidRPr="0044336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793B519E" wp14:editId="73B713DB">
            <wp:extent cx="6038850" cy="2514600"/>
            <wp:effectExtent l="0" t="0" r="0" b="0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5" t="25955" r="10808" b="21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08" w:rsidRPr="005E1508" w:rsidRDefault="005E1508" w:rsidP="005E1508">
      <w:pPr>
        <w:rPr>
          <w:rFonts w:ascii="Times New Roman" w:hAnsi="Times New Roman"/>
          <w:sz w:val="24"/>
          <w:szCs w:val="24"/>
        </w:rPr>
      </w:pPr>
      <w:r w:rsidRPr="005E1508">
        <w:rPr>
          <w:rFonts w:ascii="Times New Roman" w:hAnsi="Times New Roman"/>
          <w:sz w:val="24"/>
          <w:szCs w:val="24"/>
        </w:rPr>
        <w:t>Rate of inappropriate admissions for Diabetes over time by PCT Cluster</w:t>
      </w:r>
    </w:p>
    <w:p w:rsidR="005E1508" w:rsidRDefault="005E1508"/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Pr="00443366" w:rsidRDefault="00C52697" w:rsidP="00C526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</w:t>
      </w:r>
      <w:r w:rsidRPr="00443366">
        <w:rPr>
          <w:rFonts w:ascii="Times New Roman" w:hAnsi="Times New Roman"/>
          <w:sz w:val="24"/>
          <w:szCs w:val="24"/>
        </w:rPr>
        <w:t xml:space="preserve">able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44336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0FE46E25" wp14:editId="4962336B">
            <wp:extent cx="5981700" cy="285750"/>
            <wp:effectExtent l="0" t="0" r="0" b="0"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64" t="14813" r="9781" b="79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97" w:rsidRPr="00443366" w:rsidRDefault="00C52697" w:rsidP="00C52697">
      <w:pPr>
        <w:rPr>
          <w:rFonts w:ascii="Times New Roman" w:hAnsi="Times New Roman"/>
          <w:sz w:val="24"/>
          <w:szCs w:val="24"/>
        </w:rPr>
      </w:pPr>
      <w:r w:rsidRPr="0044336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575B6FA1" wp14:editId="69D65292">
            <wp:extent cx="5981700" cy="1543050"/>
            <wp:effectExtent l="0" t="0" r="0" b="0"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64" t="48523" r="9668" b="18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97" w:rsidRPr="00C52697" w:rsidRDefault="00C52697" w:rsidP="00C52697">
      <w:pPr>
        <w:rPr>
          <w:rFonts w:ascii="Times New Roman" w:hAnsi="Times New Roman"/>
          <w:sz w:val="24"/>
          <w:szCs w:val="24"/>
        </w:rPr>
      </w:pPr>
      <w:r w:rsidRPr="00C52697">
        <w:rPr>
          <w:rFonts w:ascii="Times New Roman" w:hAnsi="Times New Roman"/>
          <w:sz w:val="24"/>
          <w:szCs w:val="24"/>
        </w:rPr>
        <w:t>Rate of inappropriate admissions for Diabetes over time by Individual PCT</w:t>
      </w:r>
    </w:p>
    <w:p w:rsidR="00C52697" w:rsidRPr="00443366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443366">
        <w:rPr>
          <w:rFonts w:ascii="Times New Roman" w:hAnsi="Times New Roman"/>
          <w:sz w:val="24"/>
          <w:szCs w:val="24"/>
        </w:rPr>
        <w:t>able</w:t>
      </w:r>
      <w:r>
        <w:rPr>
          <w:rFonts w:ascii="Times New Roman" w:hAnsi="Times New Roman"/>
          <w:sz w:val="24"/>
          <w:szCs w:val="24"/>
        </w:rPr>
        <w:t xml:space="preserve"> 5</w:t>
      </w:r>
    </w:p>
    <w:p w:rsidR="00C52697" w:rsidRPr="00443366" w:rsidRDefault="00C52697" w:rsidP="00C52697">
      <w:pPr>
        <w:rPr>
          <w:rFonts w:ascii="Times New Roman" w:hAnsi="Times New Roman"/>
          <w:sz w:val="24"/>
          <w:szCs w:val="24"/>
        </w:rPr>
      </w:pPr>
      <w:r w:rsidRPr="00443366">
        <w:rPr>
          <w:rFonts w:ascii="Times New Roman" w:hAnsi="Times New Roman"/>
          <w:sz w:val="24"/>
          <w:szCs w:val="24"/>
        </w:rPr>
        <w:t xml:space="preserve"> </w:t>
      </w:r>
    </w:p>
    <w:p w:rsidR="00C52697" w:rsidRPr="00443366" w:rsidRDefault="00C52697" w:rsidP="00C52697">
      <w:pPr>
        <w:rPr>
          <w:rFonts w:ascii="Times New Roman" w:hAnsi="Times New Roman"/>
          <w:sz w:val="24"/>
          <w:szCs w:val="24"/>
        </w:rPr>
      </w:pPr>
      <w:r w:rsidRPr="0044336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37AE4A53" wp14:editId="34661690">
            <wp:extent cx="6534150" cy="3429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2" t="19144" r="2878" b="8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97" w:rsidRPr="00C52697" w:rsidRDefault="00C52697" w:rsidP="00C52697">
      <w:pPr>
        <w:rPr>
          <w:rFonts w:ascii="Times New Roman" w:hAnsi="Times New Roman"/>
          <w:sz w:val="24"/>
          <w:szCs w:val="24"/>
        </w:rPr>
      </w:pPr>
      <w:r w:rsidRPr="00C52697">
        <w:rPr>
          <w:rFonts w:ascii="Times New Roman" w:hAnsi="Times New Roman"/>
          <w:sz w:val="24"/>
          <w:szCs w:val="24"/>
        </w:rPr>
        <w:t>Rate of inappropriate admissions for Diabetes over time by Individual PCT</w:t>
      </w:r>
    </w:p>
    <w:p w:rsidR="00C52697" w:rsidRP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Pr="00443366" w:rsidRDefault="00C52697" w:rsidP="00C52697">
      <w:pPr>
        <w:rPr>
          <w:rFonts w:ascii="Times New Roman" w:hAnsi="Times New Roman"/>
          <w:sz w:val="24"/>
          <w:szCs w:val="24"/>
        </w:rPr>
      </w:pPr>
      <w:r w:rsidRPr="00443366">
        <w:rPr>
          <w:rFonts w:ascii="Times New Roman" w:hAnsi="Times New Roman"/>
          <w:sz w:val="24"/>
          <w:szCs w:val="24"/>
        </w:rPr>
        <w:t>Figure 1 – diabetic patients without complications admitted into hospital</w:t>
      </w:r>
    </w:p>
    <w:p w:rsidR="00C52697" w:rsidRPr="00443366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Pr="00443366" w:rsidRDefault="00C52697" w:rsidP="00C52697">
      <w:pPr>
        <w:rPr>
          <w:rFonts w:ascii="Times New Roman" w:hAnsi="Times New Roman"/>
          <w:sz w:val="24"/>
          <w:szCs w:val="24"/>
        </w:rPr>
      </w:pPr>
      <w:r w:rsidRPr="0044336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1005A351" wp14:editId="43572235">
            <wp:extent cx="5502275" cy="3088640"/>
            <wp:effectExtent l="0" t="0" r="3175" b="0"/>
            <wp:docPr id="9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52697" w:rsidRPr="00443366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Pr="00443366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Pr="00443366" w:rsidRDefault="00C52697" w:rsidP="00C52697">
      <w:pPr>
        <w:rPr>
          <w:rFonts w:ascii="Times New Roman" w:hAnsi="Times New Roman"/>
          <w:sz w:val="24"/>
          <w:szCs w:val="24"/>
        </w:rPr>
      </w:pPr>
    </w:p>
    <w:p w:rsidR="00C52697" w:rsidRPr="00443366" w:rsidRDefault="00C52697" w:rsidP="00C52697">
      <w:pPr>
        <w:rPr>
          <w:rFonts w:ascii="Times New Roman" w:hAnsi="Times New Roman"/>
          <w:sz w:val="24"/>
          <w:szCs w:val="24"/>
        </w:rPr>
      </w:pPr>
      <w:r w:rsidRPr="00443366">
        <w:rPr>
          <w:rFonts w:ascii="Times New Roman" w:hAnsi="Times New Roman"/>
          <w:sz w:val="24"/>
          <w:szCs w:val="24"/>
        </w:rPr>
        <w:t xml:space="preserve">Figure 2 </w:t>
      </w:r>
    </w:p>
    <w:p w:rsidR="00C52697" w:rsidRPr="00443366" w:rsidRDefault="00C52697" w:rsidP="00C52697">
      <w:pPr>
        <w:rPr>
          <w:rFonts w:ascii="Times New Roman" w:hAnsi="Times New Roman"/>
          <w:noProof/>
          <w:sz w:val="24"/>
          <w:szCs w:val="24"/>
        </w:rPr>
      </w:pPr>
      <w:r w:rsidRPr="0044336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34B6AE4E" wp14:editId="5F49C39F">
            <wp:extent cx="4041140" cy="1881505"/>
            <wp:effectExtent l="0" t="0" r="0" b="4445"/>
            <wp:docPr id="1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E1508" w:rsidRDefault="005E1508"/>
    <w:p w:rsidR="00C52697" w:rsidRDefault="00C52697">
      <w:r>
        <w:t>Figure 3</w:t>
      </w:r>
    </w:p>
    <w:p w:rsidR="00C52697" w:rsidRDefault="00C52697">
      <w:r w:rsidRPr="0044336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69526A34" wp14:editId="19C1387E">
            <wp:extent cx="2874010" cy="1738630"/>
            <wp:effectExtent l="0" t="0" r="2540" b="0"/>
            <wp:docPr id="11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52697" w:rsidRDefault="00C52697"/>
    <w:p w:rsidR="00C52697" w:rsidRPr="00C52697" w:rsidRDefault="00C52697">
      <w:pPr>
        <w:rPr>
          <w:rFonts w:ascii="Times New Roman" w:hAnsi="Times New Roman"/>
          <w:sz w:val="24"/>
          <w:szCs w:val="24"/>
        </w:rPr>
      </w:pPr>
      <w:r w:rsidRPr="00C52697">
        <w:rPr>
          <w:rFonts w:ascii="Times New Roman" w:hAnsi="Times New Roman"/>
          <w:sz w:val="24"/>
          <w:szCs w:val="24"/>
        </w:rPr>
        <w:t>Figure 3 - Volume of cases: total and top 10 GP practices</w:t>
      </w:r>
    </w:p>
    <w:p w:rsidR="00C52697" w:rsidRDefault="00C52697">
      <w:pPr>
        <w:rPr>
          <w:rFonts w:ascii="Times New Roman" w:hAnsi="Times New Roman"/>
          <w:b/>
          <w:i/>
          <w:sz w:val="24"/>
          <w:szCs w:val="24"/>
        </w:rPr>
      </w:pPr>
    </w:p>
    <w:p w:rsidR="00C52697" w:rsidRDefault="00C526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Figure 4 </w:t>
      </w:r>
    </w:p>
    <w:p w:rsidR="00C52697" w:rsidRDefault="00C52697">
      <w:r w:rsidRPr="0044336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7C3292A7" wp14:editId="3B3114FE">
            <wp:extent cx="2874010" cy="1377950"/>
            <wp:effectExtent l="0" t="0" r="2540" b="0"/>
            <wp:docPr id="12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52697" w:rsidRPr="00443366" w:rsidRDefault="00C52697" w:rsidP="00C52697">
      <w:pPr>
        <w:rPr>
          <w:rFonts w:ascii="Times New Roman" w:hAnsi="Times New Roman"/>
          <w:b/>
          <w:i/>
          <w:sz w:val="24"/>
          <w:szCs w:val="24"/>
        </w:rPr>
      </w:pPr>
      <w:r w:rsidRPr="00443366">
        <w:rPr>
          <w:rFonts w:ascii="Times New Roman" w:hAnsi="Times New Roman"/>
          <w:b/>
          <w:i/>
          <w:sz w:val="24"/>
          <w:szCs w:val="24"/>
        </w:rPr>
        <w:t>Figure 4 – Total costs and top 10 GP practices</w:t>
      </w:r>
    </w:p>
    <w:p w:rsidR="00C52697" w:rsidRPr="00C52697" w:rsidRDefault="00C52697">
      <w:bookmarkStart w:id="0" w:name="_GoBack"/>
      <w:bookmarkEnd w:id="0"/>
    </w:p>
    <w:sectPr w:rsidR="00C52697" w:rsidRPr="00C52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08"/>
    <w:rsid w:val="001B6D29"/>
    <w:rsid w:val="005E1508"/>
    <w:rsid w:val="007852E0"/>
    <w:rsid w:val="008810EA"/>
    <w:rsid w:val="00C5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50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508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50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508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chart" Target="charts/chart4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fitzsimmons\Documents\My%20Documents\UK\UK%20PR\NEO%20PR\Records%20%20analysis%20for%20benchmarking%20articl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fitzsimmons\Documents\My%20Documents\UK\UK%20PR\NEO%20PR\Records%20%20analysis%20for%20benchmarking%20article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fitzsimmons\Documents\My%20Documents\UK\UK%20PR\NEO%20PR\Records%20%20analysis%20for%20benchmarking%20articl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fitzsimmons\Documents\My%20Documents\UK\UK%20PR\NEO%20PR\Records%20%20analysis%20for%20benchmarking%20articl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Comparisons!$A$18</c:f>
              <c:strCache>
                <c:ptCount val="1"/>
                <c:pt idx="0">
                  <c:v>cases admitted without complications</c:v>
                </c:pt>
              </c:strCache>
            </c:strRef>
          </c:tx>
          <c:invertIfNegative val="1"/>
          <c:cat>
            <c:strRef>
              <c:f>Comparisons!$B$17:$E$17</c:f>
              <c:strCache>
                <c:ptCount val="4"/>
                <c:pt idx="0">
                  <c:v>London</c:v>
                </c:pt>
                <c:pt idx="1">
                  <c:v>North</c:v>
                </c:pt>
                <c:pt idx="2">
                  <c:v>South</c:v>
                </c:pt>
                <c:pt idx="3">
                  <c:v>Midlands</c:v>
                </c:pt>
              </c:strCache>
            </c:strRef>
          </c:cat>
          <c:val>
            <c:numRef>
              <c:f>Comparisons!$B$18:$E$18</c:f>
              <c:numCache>
                <c:formatCode>General</c:formatCode>
                <c:ptCount val="4"/>
                <c:pt idx="0">
                  <c:v>57</c:v>
                </c:pt>
                <c:pt idx="1">
                  <c:v>101</c:v>
                </c:pt>
                <c:pt idx="2">
                  <c:v>163</c:v>
                </c:pt>
                <c:pt idx="3">
                  <c:v>51</c:v>
                </c:pt>
              </c:numCache>
            </c:numRef>
          </c:val>
        </c:ser>
        <c:ser>
          <c:idx val="1"/>
          <c:order val="1"/>
          <c:tx>
            <c:strRef>
              <c:f>Comparisons!$A$19</c:f>
              <c:strCache>
                <c:ptCount val="1"/>
                <c:pt idx="0">
                  <c:v>Cases above that had a proceedure </c:v>
                </c:pt>
              </c:strCache>
            </c:strRef>
          </c:tx>
          <c:invertIfNegative val="1"/>
          <c:cat>
            <c:strRef>
              <c:f>Comparisons!$B$17:$E$17</c:f>
              <c:strCache>
                <c:ptCount val="4"/>
                <c:pt idx="0">
                  <c:v>London</c:v>
                </c:pt>
                <c:pt idx="1">
                  <c:v>North</c:v>
                </c:pt>
                <c:pt idx="2">
                  <c:v>South</c:v>
                </c:pt>
                <c:pt idx="3">
                  <c:v>Midlands</c:v>
                </c:pt>
              </c:strCache>
            </c:strRef>
          </c:cat>
          <c:val>
            <c:numRef>
              <c:f>Comparisons!$B$19:$E$19</c:f>
              <c:numCache>
                <c:formatCode>General</c:formatCode>
                <c:ptCount val="4"/>
                <c:pt idx="0">
                  <c:v>6</c:v>
                </c:pt>
                <c:pt idx="1">
                  <c:v>10</c:v>
                </c:pt>
                <c:pt idx="2">
                  <c:v>11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2616960"/>
        <c:axId val="112618880"/>
        <c:axId val="0"/>
      </c:bar3DChart>
      <c:catAx>
        <c:axId val="112616960"/>
        <c:scaling>
          <c:orientation val="minMax"/>
        </c:scaling>
        <c:delete val="1"/>
        <c:axPos val="b"/>
        <c:majorTickMark val="cross"/>
        <c:minorTickMark val="cross"/>
        <c:tickLblPos val="nextTo"/>
        <c:crossAx val="112618880"/>
        <c:crosses val="autoZero"/>
        <c:auto val="1"/>
        <c:lblAlgn val="ctr"/>
        <c:lblOffset val="100"/>
        <c:noMultiLvlLbl val="1"/>
      </c:catAx>
      <c:valAx>
        <c:axId val="112618880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112616960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1"/>
    </c:title>
    <c:autoTitleDeleted val="0"/>
    <c:plotArea>
      <c:layout/>
      <c:barChart>
        <c:barDir val="col"/>
        <c:grouping val="stacked"/>
        <c:varyColors val="1"/>
        <c:ser>
          <c:idx val="0"/>
          <c:order val="0"/>
          <c:tx>
            <c:strRef>
              <c:f>Comparisons!$A$11</c:f>
              <c:strCache>
                <c:ptCount val="1"/>
                <c:pt idx="0">
                  <c:v>% cases with LOS &lt; 2 days</c:v>
                </c:pt>
              </c:strCache>
            </c:strRef>
          </c:tx>
          <c:invertIfNegative val="1"/>
          <c:cat>
            <c:strRef>
              <c:f>Comparisons!$B$10:$E$10</c:f>
              <c:strCache>
                <c:ptCount val="4"/>
                <c:pt idx="0">
                  <c:v>London</c:v>
                </c:pt>
                <c:pt idx="1">
                  <c:v>North</c:v>
                </c:pt>
                <c:pt idx="2">
                  <c:v>South</c:v>
                </c:pt>
                <c:pt idx="3">
                  <c:v>Midlands</c:v>
                </c:pt>
              </c:strCache>
            </c:strRef>
          </c:cat>
          <c:val>
            <c:numRef>
              <c:f>Comparisons!$B$11:$E$11</c:f>
              <c:numCache>
                <c:formatCode>0%</c:formatCode>
                <c:ptCount val="4"/>
                <c:pt idx="0">
                  <c:v>0.51960784313725494</c:v>
                </c:pt>
                <c:pt idx="1">
                  <c:v>0.33658536585365856</c:v>
                </c:pt>
                <c:pt idx="2">
                  <c:v>0.39339339339339341</c:v>
                </c:pt>
                <c:pt idx="3">
                  <c:v>0.38759689922480622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1677824"/>
        <c:axId val="111679744"/>
      </c:barChart>
      <c:catAx>
        <c:axId val="111677824"/>
        <c:scaling>
          <c:orientation val="minMax"/>
        </c:scaling>
        <c:delete val="1"/>
        <c:axPos val="b"/>
        <c:majorTickMark val="cross"/>
        <c:minorTickMark val="cross"/>
        <c:tickLblPos val="nextTo"/>
        <c:crossAx val="111679744"/>
        <c:crosses val="autoZero"/>
        <c:auto val="1"/>
        <c:lblAlgn val="ctr"/>
        <c:lblOffset val="100"/>
        <c:noMultiLvlLbl val="1"/>
      </c:catAx>
      <c:valAx>
        <c:axId val="111679744"/>
        <c:scaling>
          <c:orientation val="minMax"/>
        </c:scaling>
        <c:delete val="1"/>
        <c:axPos val="l"/>
        <c:majorGridlines/>
        <c:numFmt formatCode="0%" sourceLinked="1"/>
        <c:majorTickMark val="cross"/>
        <c:minorTickMark val="cross"/>
        <c:tickLblPos val="nextTo"/>
        <c:crossAx val="111677824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Comparisons!$A$22</c:f>
              <c:strCache>
                <c:ptCount val="1"/>
                <c:pt idx="0">
                  <c:v>total volume of cases</c:v>
                </c:pt>
              </c:strCache>
            </c:strRef>
          </c:tx>
          <c:invertIfNegative val="1"/>
          <c:cat>
            <c:strRef>
              <c:f>Comparisons!$B$21:$C$21</c:f>
              <c:strCache>
                <c:ptCount val="2"/>
                <c:pt idx="0">
                  <c:v>PCT1</c:v>
                </c:pt>
                <c:pt idx="1">
                  <c:v>PCT2</c:v>
                </c:pt>
              </c:strCache>
            </c:strRef>
          </c:cat>
          <c:val>
            <c:numRef>
              <c:f>Comparisons!$B$22:$C$22</c:f>
              <c:numCache>
                <c:formatCode>General</c:formatCode>
                <c:ptCount val="2"/>
                <c:pt idx="0">
                  <c:v>108</c:v>
                </c:pt>
                <c:pt idx="1">
                  <c:v>130</c:v>
                </c:pt>
              </c:numCache>
            </c:numRef>
          </c:val>
        </c:ser>
        <c:ser>
          <c:idx val="1"/>
          <c:order val="1"/>
          <c:tx>
            <c:strRef>
              <c:f>Comparisons!$A$23</c:f>
              <c:strCache>
                <c:ptCount val="1"/>
                <c:pt idx="0">
                  <c:v>top 10 practices share</c:v>
                </c:pt>
              </c:strCache>
            </c:strRef>
          </c:tx>
          <c:invertIfNegative val="1"/>
          <c:cat>
            <c:strRef>
              <c:f>Comparisons!$B$21:$C$21</c:f>
              <c:strCache>
                <c:ptCount val="2"/>
                <c:pt idx="0">
                  <c:v>PCT1</c:v>
                </c:pt>
                <c:pt idx="1">
                  <c:v>PCT2</c:v>
                </c:pt>
              </c:strCache>
            </c:strRef>
          </c:cat>
          <c:val>
            <c:numRef>
              <c:f>Comparisons!$B$23:$C$23</c:f>
              <c:numCache>
                <c:formatCode>General</c:formatCode>
                <c:ptCount val="2"/>
                <c:pt idx="0">
                  <c:v>59</c:v>
                </c:pt>
                <c:pt idx="1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5906176"/>
        <c:axId val="106897792"/>
      </c:barChart>
      <c:catAx>
        <c:axId val="85906176"/>
        <c:scaling>
          <c:orientation val="minMax"/>
        </c:scaling>
        <c:delete val="1"/>
        <c:axPos val="b"/>
        <c:majorTickMark val="cross"/>
        <c:minorTickMark val="cross"/>
        <c:tickLblPos val="nextTo"/>
        <c:crossAx val="106897792"/>
        <c:crosses val="autoZero"/>
        <c:auto val="1"/>
        <c:lblAlgn val="ctr"/>
        <c:lblOffset val="100"/>
        <c:noMultiLvlLbl val="1"/>
      </c:catAx>
      <c:valAx>
        <c:axId val="106897792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85906176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Comparisons!$A$25</c:f>
              <c:strCache>
                <c:ptCount val="1"/>
                <c:pt idx="0">
                  <c:v>total cost</c:v>
                </c:pt>
              </c:strCache>
            </c:strRef>
          </c:tx>
          <c:invertIfNegative val="1"/>
          <c:cat>
            <c:strRef>
              <c:f>Comparisons!$B$24:$C$24</c:f>
              <c:strCache>
                <c:ptCount val="2"/>
                <c:pt idx="0">
                  <c:v>PCT1</c:v>
                </c:pt>
                <c:pt idx="1">
                  <c:v>PCT2</c:v>
                </c:pt>
              </c:strCache>
            </c:strRef>
          </c:cat>
          <c:val>
            <c:numRef>
              <c:f>Comparisons!$B$25:$C$25</c:f>
              <c:numCache>
                <c:formatCode>#,##0</c:formatCode>
                <c:ptCount val="2"/>
                <c:pt idx="0">
                  <c:v>164169</c:v>
                </c:pt>
                <c:pt idx="1">
                  <c:v>150000</c:v>
                </c:pt>
              </c:numCache>
            </c:numRef>
          </c:val>
        </c:ser>
        <c:ser>
          <c:idx val="1"/>
          <c:order val="1"/>
          <c:tx>
            <c:strRef>
              <c:f>Comparisons!$A$26</c:f>
              <c:strCache>
                <c:ptCount val="1"/>
                <c:pt idx="0">
                  <c:v>top 10 Practices share</c:v>
                </c:pt>
              </c:strCache>
            </c:strRef>
          </c:tx>
          <c:invertIfNegative val="1"/>
          <c:cat>
            <c:strRef>
              <c:f>Comparisons!$B$24:$C$24</c:f>
              <c:strCache>
                <c:ptCount val="2"/>
                <c:pt idx="0">
                  <c:v>PCT1</c:v>
                </c:pt>
                <c:pt idx="1">
                  <c:v>PCT2</c:v>
                </c:pt>
              </c:strCache>
            </c:strRef>
          </c:cat>
          <c:val>
            <c:numRef>
              <c:f>Comparisons!$B$26:$C$26</c:f>
              <c:numCache>
                <c:formatCode>#,##0</c:formatCode>
                <c:ptCount val="2"/>
                <c:pt idx="0">
                  <c:v>87270</c:v>
                </c:pt>
                <c:pt idx="1">
                  <c:v>65927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434176"/>
        <c:axId val="112435968"/>
      </c:barChart>
      <c:catAx>
        <c:axId val="112434176"/>
        <c:scaling>
          <c:orientation val="minMax"/>
        </c:scaling>
        <c:delete val="1"/>
        <c:axPos val="b"/>
        <c:majorTickMark val="cross"/>
        <c:minorTickMark val="cross"/>
        <c:tickLblPos val="nextTo"/>
        <c:crossAx val="112435968"/>
        <c:crosses val="autoZero"/>
        <c:auto val="1"/>
        <c:lblAlgn val="ctr"/>
        <c:lblOffset val="100"/>
        <c:noMultiLvlLbl val="1"/>
      </c:catAx>
      <c:valAx>
        <c:axId val="112435968"/>
        <c:scaling>
          <c:orientation val="minMax"/>
        </c:scaling>
        <c:delete val="1"/>
        <c:axPos val="l"/>
        <c:majorGridlines/>
        <c:numFmt formatCode="#,##0" sourceLinked="1"/>
        <c:majorTickMark val="cross"/>
        <c:minorTickMark val="cross"/>
        <c:tickLblPos val="nextTo"/>
        <c:crossAx val="112434176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2012-07-04T13:00:00Z</dcterms:created>
  <dcterms:modified xsi:type="dcterms:W3CDTF">2012-07-04T16:21:00Z</dcterms:modified>
</cp:coreProperties>
</file>