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FD" w:rsidRPr="00266B2A" w:rsidRDefault="001D2FFD" w:rsidP="001D2FFD">
      <w:pPr>
        <w:jc w:val="center"/>
        <w:rPr>
          <w:rFonts w:ascii="Arial" w:hAnsi="Arial" w:cs="Arial"/>
          <w:b/>
          <w:sz w:val="24"/>
          <w:szCs w:val="24"/>
        </w:rPr>
      </w:pPr>
      <w:r w:rsidRPr="00266B2A">
        <w:rPr>
          <w:rFonts w:ascii="Arial" w:hAnsi="Arial" w:cs="Arial"/>
          <w:b/>
          <w:sz w:val="24"/>
          <w:szCs w:val="24"/>
        </w:rPr>
        <w:t>Figure 1: A&amp;E activity per 1000 people in Merton and in five most deprived practices</w:t>
      </w:r>
    </w:p>
    <w:p w:rsidR="001D2FFD" w:rsidRPr="00266B2A" w:rsidRDefault="001D2FFD" w:rsidP="001D2FFD">
      <w:pPr>
        <w:rPr>
          <w:rFonts w:ascii="Arial" w:hAnsi="Arial" w:cs="Arial"/>
          <w:b/>
          <w:sz w:val="24"/>
          <w:szCs w:val="24"/>
        </w:rPr>
      </w:pPr>
    </w:p>
    <w:p w:rsidR="00001DC9" w:rsidRDefault="001D2FFD" w:rsidP="001D2FFD">
      <w:r w:rsidRPr="00266B2A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07F312DC" wp14:editId="132725E4">
            <wp:extent cx="5693664" cy="2426208"/>
            <wp:effectExtent l="0" t="0" r="2159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00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FD"/>
    <w:rsid w:val="001D2FFD"/>
    <w:rsid w:val="00675F4A"/>
    <w:rsid w:val="00D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341855294465228E-2"/>
          <c:y val="0.20108917013645544"/>
          <c:w val="0.79336614173228348"/>
          <c:h val="0.6321841118027786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Merton CCG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346.2</c:v>
                </c:pt>
                <c:pt idx="1">
                  <c:v>353</c:v>
                </c:pt>
                <c:pt idx="2">
                  <c:v>353.3</c:v>
                </c:pt>
                <c:pt idx="3">
                  <c:v>333.3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Practice A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377.5</c:v>
                </c:pt>
                <c:pt idx="1">
                  <c:v>447.9</c:v>
                </c:pt>
                <c:pt idx="2">
                  <c:v>488.6</c:v>
                </c:pt>
                <c:pt idx="3">
                  <c:v>452.8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Practice B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390.8</c:v>
                </c:pt>
                <c:pt idx="1">
                  <c:v>470.5</c:v>
                </c:pt>
                <c:pt idx="2">
                  <c:v>444</c:v>
                </c:pt>
                <c:pt idx="3">
                  <c:v>393.8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Practice C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463.3</c:v>
                </c:pt>
                <c:pt idx="1">
                  <c:v>580.70000000000005</c:v>
                </c:pt>
                <c:pt idx="2">
                  <c:v>483.6</c:v>
                </c:pt>
                <c:pt idx="3">
                  <c:v>454.8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Practice D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431.6</c:v>
                </c:pt>
                <c:pt idx="1">
                  <c:v>402.4</c:v>
                </c:pt>
                <c:pt idx="2">
                  <c:v>429.3</c:v>
                </c:pt>
                <c:pt idx="3">
                  <c:v>379.1</c:v>
                </c:pt>
              </c:numCache>
            </c:numRef>
          </c:val>
          <c:smooth val="1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Practice E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2008/09</c:v>
                </c:pt>
                <c:pt idx="1">
                  <c:v>2009/10</c:v>
                </c:pt>
                <c:pt idx="2">
                  <c:v>2010/11</c:v>
                </c:pt>
                <c:pt idx="3">
                  <c:v>2011/12</c:v>
                </c:pt>
              </c:strCache>
            </c:strRef>
          </c:cat>
          <c:val>
            <c:numRef>
              <c:f>Sheet1!$G$2:$G$5</c:f>
              <c:numCache>
                <c:formatCode>General</c:formatCode>
                <c:ptCount val="4"/>
                <c:pt idx="0">
                  <c:v>487.2</c:v>
                </c:pt>
                <c:pt idx="1">
                  <c:v>509</c:v>
                </c:pt>
                <c:pt idx="2">
                  <c:v>565.20000000000005</c:v>
                </c:pt>
                <c:pt idx="3">
                  <c:v>506.8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461248"/>
        <c:axId val="147462784"/>
      </c:lineChart>
      <c:catAx>
        <c:axId val="147461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7462784"/>
        <c:crosses val="autoZero"/>
        <c:auto val="1"/>
        <c:lblAlgn val="ctr"/>
        <c:lblOffset val="100"/>
        <c:noMultiLvlLbl val="0"/>
      </c:catAx>
      <c:valAx>
        <c:axId val="147462784"/>
        <c:scaling>
          <c:orientation val="minMax"/>
          <c:max val="600"/>
          <c:min val="300"/>
        </c:scaling>
        <c:delete val="0"/>
        <c:axPos val="l"/>
        <c:numFmt formatCode="General" sourceLinked="1"/>
        <c:majorTickMark val="out"/>
        <c:minorTickMark val="none"/>
        <c:tickLblPos val="nextTo"/>
        <c:crossAx val="1474612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0.77333</cdr:x>
      <cdr:y>0.70869</cdr:y>
    </cdr:from>
    <cdr:to>
      <cdr:x>1</cdr:x>
      <cdr:y>0.8067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4242816" y="1719072"/>
          <a:ext cx="1243584" cy="237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>
              <a:solidFill>
                <a:srgbClr val="FF0000"/>
              </a:solidFill>
            </a:rPr>
            <a:t>Total</a:t>
          </a:r>
          <a:r>
            <a:rPr lang="en-GB" sz="1100" baseline="0">
              <a:solidFill>
                <a:srgbClr val="FF0000"/>
              </a:solidFill>
            </a:rPr>
            <a:t> </a:t>
          </a:r>
          <a:r>
            <a:rPr lang="en-GB" sz="1100">
              <a:solidFill>
                <a:srgbClr val="FF0000"/>
              </a:solidFill>
            </a:rPr>
            <a:t>Merton</a:t>
          </a:r>
          <a:r>
            <a:rPr lang="en-GB" sz="1100" baseline="0">
              <a:solidFill>
                <a:srgbClr val="FF0000"/>
              </a:solidFill>
            </a:rPr>
            <a:t> CCG</a:t>
          </a:r>
          <a:endParaRPr lang="en-GB" sz="1100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0.55111</cdr:x>
      <cdr:y>0.04021</cdr:y>
    </cdr:from>
    <cdr:to>
      <cdr:x>0.97333</cdr:x>
      <cdr:y>0.13571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3023616" y="97536"/>
          <a:ext cx="2316480" cy="2316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/>
            <a:t>Diversity initiative introduced</a:t>
          </a:r>
          <a:r>
            <a:rPr lang="en-GB" sz="1100" baseline="0"/>
            <a:t> 2010</a:t>
          </a:r>
          <a:endParaRPr lang="en-GB" sz="1100"/>
        </a:p>
      </cdr:txBody>
    </cdr:sp>
  </cdr:relSizeAnchor>
  <cdr:relSizeAnchor xmlns:cdr="http://schemas.openxmlformats.org/drawingml/2006/chartDrawing">
    <cdr:from>
      <cdr:x>0.58444</cdr:x>
      <cdr:y>0.15079</cdr:y>
    </cdr:from>
    <cdr:to>
      <cdr:x>0.58556</cdr:x>
      <cdr:y>0.24628</cdr:y>
    </cdr:to>
    <cdr:cxnSp macro="">
      <cdr:nvCxnSpPr>
        <cdr:cNvPr id="7" name="Straight Arrow Connector 6"/>
        <cdr:cNvCxnSpPr/>
      </cdr:nvCxnSpPr>
      <cdr:spPr>
        <a:xfrm xmlns:a="http://schemas.openxmlformats.org/drawingml/2006/main" flipH="1">
          <a:off x="3206496" y="365760"/>
          <a:ext cx="6096" cy="231648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rgbClr val="C00000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0.77222</cdr:x>
      <cdr:y>0.33927</cdr:y>
    </cdr:from>
    <cdr:to>
      <cdr:x>0.99222</cdr:x>
      <cdr:y>0.43979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4236720" y="822960"/>
          <a:ext cx="1207008" cy="243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000"/>
            <a:t>Deprived practice A</a:t>
          </a:r>
        </a:p>
      </cdr:txBody>
    </cdr:sp>
  </cdr:relSizeAnchor>
  <cdr:relSizeAnchor xmlns:cdr="http://schemas.openxmlformats.org/drawingml/2006/chartDrawing">
    <cdr:from>
      <cdr:x>0.77333</cdr:x>
      <cdr:y>0.42471</cdr:y>
    </cdr:from>
    <cdr:to>
      <cdr:x>1</cdr:x>
      <cdr:y>0.59058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242816" y="1030224"/>
          <a:ext cx="1243584" cy="4023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000"/>
            <a:t>Deprived practice</a:t>
          </a:r>
          <a:r>
            <a:rPr lang="en-GB" sz="1000" baseline="0"/>
            <a:t> B</a:t>
          </a:r>
        </a:p>
        <a:p xmlns:a="http://schemas.openxmlformats.org/drawingml/2006/main">
          <a:r>
            <a:rPr lang="en-GB" sz="1000" baseline="0"/>
            <a:t>Deprived practice C</a:t>
          </a:r>
          <a:endParaRPr lang="en-GB" sz="1000"/>
        </a:p>
      </cdr:txBody>
    </cdr:sp>
  </cdr:relSizeAnchor>
  <cdr:relSizeAnchor xmlns:cdr="http://schemas.openxmlformats.org/drawingml/2006/chartDrawing">
    <cdr:from>
      <cdr:x>0.77444</cdr:x>
      <cdr:y>0.56796</cdr:y>
    </cdr:from>
    <cdr:to>
      <cdr:x>1</cdr:x>
      <cdr:y>0.64335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4248912" y="1377696"/>
          <a:ext cx="1237488" cy="182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000"/>
            <a:t>Deprived practice D</a:t>
          </a:r>
        </a:p>
      </cdr:txBody>
    </cdr:sp>
  </cdr:relSizeAnchor>
  <cdr:relSizeAnchor xmlns:cdr="http://schemas.openxmlformats.org/drawingml/2006/chartDrawing">
    <cdr:from>
      <cdr:x>0.77444</cdr:x>
      <cdr:y>0.61822</cdr:y>
    </cdr:from>
    <cdr:to>
      <cdr:x>1</cdr:x>
      <cdr:y>0.71372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4248912" y="1499616"/>
          <a:ext cx="1237488" cy="2316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000"/>
            <a:t>Deprived practice 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Nosmot Gbadamosi</dc:creator>
  <cp:lastModifiedBy>Nosmot Gbadamosi</cp:lastModifiedBy>
  <cp:revision>1</cp:revision>
  <dcterms:created xsi:type="dcterms:W3CDTF">2012-11-23T14:56:00Z</dcterms:created>
  <dcterms:modified xsi:type="dcterms:W3CDTF">2012-11-23T14:57:00Z</dcterms:modified>
</cp:coreProperties>
</file>