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204" w:rsidRPr="00E3023C" w:rsidRDefault="0017083C" w:rsidP="002861F6">
      <w:pPr>
        <w:jc w:val="center"/>
        <w:rPr>
          <w:b/>
          <w:bCs/>
          <w:sz w:val="28"/>
        </w:rPr>
      </w:pPr>
      <w:r w:rsidRPr="00E3023C">
        <w:rPr>
          <w:b/>
          <w:bCs/>
          <w:sz w:val="28"/>
          <w:szCs w:val="28"/>
        </w:rPr>
        <w:t>Reform Group</w:t>
      </w:r>
    </w:p>
    <w:p w:rsidR="002861F6" w:rsidRPr="00E3023C" w:rsidRDefault="00CB1B29" w:rsidP="005E6934">
      <w:pPr>
        <w:jc w:val="center"/>
        <w:rPr>
          <w:b/>
          <w:sz w:val="28"/>
        </w:rPr>
      </w:pPr>
      <w:r w:rsidRPr="00E3023C">
        <w:rPr>
          <w:b/>
          <w:sz w:val="28"/>
        </w:rPr>
        <w:t>5 September</w:t>
      </w:r>
      <w:r w:rsidR="00EB442E" w:rsidRPr="00E3023C">
        <w:rPr>
          <w:b/>
          <w:sz w:val="28"/>
        </w:rPr>
        <w:t xml:space="preserve"> 2011</w:t>
      </w:r>
    </w:p>
    <w:tbl>
      <w:tblPr>
        <w:tblW w:w="10188"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988"/>
        <w:gridCol w:w="7200"/>
      </w:tblGrid>
      <w:tr w:rsidR="002861F6" w:rsidRPr="002861F6" w:rsidTr="009565B9">
        <w:trPr>
          <w:trHeight w:val="401"/>
        </w:trPr>
        <w:tc>
          <w:tcPr>
            <w:tcW w:w="2988" w:type="dxa"/>
            <w:tcMar>
              <w:top w:w="108" w:type="dxa"/>
              <w:bottom w:w="108" w:type="dxa"/>
            </w:tcMar>
          </w:tcPr>
          <w:p w:rsidR="002861F6" w:rsidRPr="002861F6" w:rsidRDefault="002861F6" w:rsidP="002861F6">
            <w:pPr>
              <w:pStyle w:val="Default"/>
              <w:rPr>
                <w:b/>
                <w:sz w:val="28"/>
              </w:rPr>
            </w:pPr>
            <w:r w:rsidRPr="002861F6">
              <w:rPr>
                <w:b/>
                <w:sz w:val="28"/>
              </w:rPr>
              <w:t>Title:</w:t>
            </w:r>
          </w:p>
        </w:tc>
        <w:tc>
          <w:tcPr>
            <w:tcW w:w="7200" w:type="dxa"/>
            <w:tcMar>
              <w:top w:w="108" w:type="dxa"/>
              <w:bottom w:w="108" w:type="dxa"/>
            </w:tcMar>
          </w:tcPr>
          <w:p w:rsidR="002861F6" w:rsidRPr="006A6CD0" w:rsidRDefault="006A6CD0" w:rsidP="00CB1B29">
            <w:pPr>
              <w:spacing w:after="240" w:line="276" w:lineRule="auto"/>
            </w:pPr>
            <w:r w:rsidRPr="006A6CD0">
              <w:t>Any Qualified Provider</w:t>
            </w:r>
            <w:r w:rsidR="00782C45">
              <w:t xml:space="preserve"> (AQP)</w:t>
            </w:r>
            <w:r w:rsidRPr="006A6CD0">
              <w:t xml:space="preserve"> – </w:t>
            </w:r>
            <w:r w:rsidR="00CB1B29">
              <w:t>update</w:t>
            </w:r>
          </w:p>
        </w:tc>
      </w:tr>
      <w:tr w:rsidR="00021736" w:rsidRPr="002861F6" w:rsidTr="00112C43">
        <w:tc>
          <w:tcPr>
            <w:tcW w:w="2988" w:type="dxa"/>
            <w:tcMar>
              <w:top w:w="108" w:type="dxa"/>
              <w:bottom w:w="108" w:type="dxa"/>
            </w:tcMar>
          </w:tcPr>
          <w:p w:rsidR="00021736" w:rsidRPr="002861F6" w:rsidRDefault="00021736" w:rsidP="002861F6">
            <w:pPr>
              <w:pStyle w:val="Default"/>
              <w:rPr>
                <w:b/>
                <w:sz w:val="28"/>
              </w:rPr>
            </w:pPr>
            <w:r w:rsidRPr="002861F6">
              <w:rPr>
                <w:b/>
                <w:sz w:val="28"/>
              </w:rPr>
              <w:t xml:space="preserve">Agenda item: </w:t>
            </w:r>
          </w:p>
        </w:tc>
        <w:tc>
          <w:tcPr>
            <w:tcW w:w="7200" w:type="dxa"/>
            <w:tcMar>
              <w:top w:w="108" w:type="dxa"/>
              <w:bottom w:w="108" w:type="dxa"/>
            </w:tcMar>
          </w:tcPr>
          <w:p w:rsidR="00021736" w:rsidRPr="002861F6" w:rsidRDefault="00021736" w:rsidP="00603316">
            <w:pPr>
              <w:pStyle w:val="Default"/>
              <w:rPr>
                <w:sz w:val="28"/>
              </w:rPr>
            </w:pPr>
            <w:r w:rsidRPr="00CB1B29">
              <w:t>8</w:t>
            </w:r>
          </w:p>
        </w:tc>
      </w:tr>
      <w:tr w:rsidR="00966A7F" w:rsidRPr="002861F6" w:rsidTr="009565B9">
        <w:tc>
          <w:tcPr>
            <w:tcW w:w="2988" w:type="dxa"/>
            <w:tcMar>
              <w:top w:w="108" w:type="dxa"/>
              <w:bottom w:w="108" w:type="dxa"/>
            </w:tcMar>
          </w:tcPr>
          <w:p w:rsidR="00966A7F" w:rsidRPr="002861F6" w:rsidRDefault="00966A7F" w:rsidP="00E22917">
            <w:pPr>
              <w:pStyle w:val="Default"/>
              <w:rPr>
                <w:b/>
              </w:rPr>
            </w:pPr>
            <w:r w:rsidRPr="002861F6">
              <w:rPr>
                <w:b/>
              </w:rPr>
              <w:t>Action requested:</w:t>
            </w:r>
          </w:p>
        </w:tc>
        <w:tc>
          <w:tcPr>
            <w:tcW w:w="7200" w:type="dxa"/>
            <w:tcMar>
              <w:top w:w="108" w:type="dxa"/>
              <w:bottom w:w="108" w:type="dxa"/>
            </w:tcMar>
          </w:tcPr>
          <w:p w:rsidR="00966A7F" w:rsidRPr="00EB442E" w:rsidRDefault="0017083C" w:rsidP="00CB1B29">
            <w:pPr>
              <w:pStyle w:val="Default"/>
            </w:pPr>
            <w:r>
              <w:t>F</w:t>
            </w:r>
            <w:r w:rsidR="00966A7F" w:rsidRPr="00EB442E">
              <w:t xml:space="preserve">or </w:t>
            </w:r>
            <w:r w:rsidR="001A47A6">
              <w:t>noting</w:t>
            </w:r>
            <w:r w:rsidR="008754CE">
              <w:t xml:space="preserve"> and comment.</w:t>
            </w:r>
          </w:p>
        </w:tc>
      </w:tr>
      <w:tr w:rsidR="00FB0B5A" w:rsidRPr="002861F6" w:rsidTr="009565B9">
        <w:tc>
          <w:tcPr>
            <w:tcW w:w="2988" w:type="dxa"/>
            <w:tcMar>
              <w:top w:w="108" w:type="dxa"/>
              <w:bottom w:w="108" w:type="dxa"/>
            </w:tcMar>
          </w:tcPr>
          <w:p w:rsidR="00FB0B5A" w:rsidRPr="002861F6" w:rsidRDefault="00FB0B5A" w:rsidP="00E22917">
            <w:pPr>
              <w:pStyle w:val="Default"/>
              <w:rPr>
                <w:b/>
              </w:rPr>
            </w:pPr>
            <w:r>
              <w:rPr>
                <w:b/>
              </w:rPr>
              <w:t>Timing</w:t>
            </w:r>
          </w:p>
        </w:tc>
        <w:tc>
          <w:tcPr>
            <w:tcW w:w="7200" w:type="dxa"/>
            <w:tcMar>
              <w:top w:w="108" w:type="dxa"/>
              <w:bottom w:w="108" w:type="dxa"/>
            </w:tcMar>
          </w:tcPr>
          <w:p w:rsidR="00FB0B5A" w:rsidRDefault="0017083C" w:rsidP="00CB1B29">
            <w:pPr>
              <w:pStyle w:val="Default"/>
            </w:pPr>
            <w:r>
              <w:t>DH guidance</w:t>
            </w:r>
            <w:r w:rsidR="006A6CD0">
              <w:t xml:space="preserve"> published </w:t>
            </w:r>
            <w:r>
              <w:t xml:space="preserve">on </w:t>
            </w:r>
            <w:r w:rsidR="006A6CD0">
              <w:t>19 July</w:t>
            </w:r>
            <w:r>
              <w:t xml:space="preserve"> </w:t>
            </w:r>
            <w:r w:rsidR="00CB1B29">
              <w:t>requires PCT clusters to notify their SHA by 31 October 2011 of their three priorities for implementing AQP by September 2012.</w:t>
            </w:r>
          </w:p>
        </w:tc>
      </w:tr>
      <w:tr w:rsidR="00FB0B5A" w:rsidRPr="002861F6" w:rsidTr="009565B9">
        <w:tc>
          <w:tcPr>
            <w:tcW w:w="2988" w:type="dxa"/>
            <w:tcMar>
              <w:top w:w="108" w:type="dxa"/>
              <w:bottom w:w="108" w:type="dxa"/>
            </w:tcMar>
          </w:tcPr>
          <w:p w:rsidR="00FB0B5A" w:rsidRPr="002861F6" w:rsidRDefault="00FB0B5A" w:rsidP="002861F6">
            <w:pPr>
              <w:pStyle w:val="Default"/>
              <w:rPr>
                <w:b/>
              </w:rPr>
            </w:pPr>
            <w:r w:rsidRPr="002861F6">
              <w:rPr>
                <w:b/>
              </w:rPr>
              <w:t>Executive Summary:</w:t>
            </w:r>
          </w:p>
          <w:p w:rsidR="00FB0B5A" w:rsidRPr="002861F6" w:rsidRDefault="00FB0B5A" w:rsidP="002861F6">
            <w:pPr>
              <w:pStyle w:val="Default"/>
              <w:rPr>
                <w:b/>
              </w:rPr>
            </w:pPr>
          </w:p>
          <w:p w:rsidR="00FB0B5A" w:rsidRPr="002861F6" w:rsidRDefault="00FB0B5A" w:rsidP="002861F6">
            <w:pPr>
              <w:pStyle w:val="Default"/>
              <w:rPr>
                <w:b/>
              </w:rPr>
            </w:pPr>
          </w:p>
          <w:p w:rsidR="00FB0B5A" w:rsidRPr="002861F6" w:rsidRDefault="00FB0B5A" w:rsidP="002861F6">
            <w:pPr>
              <w:pStyle w:val="Default"/>
              <w:rPr>
                <w:b/>
              </w:rPr>
            </w:pPr>
          </w:p>
        </w:tc>
        <w:tc>
          <w:tcPr>
            <w:tcW w:w="7200" w:type="dxa"/>
            <w:tcMar>
              <w:top w:w="108" w:type="dxa"/>
              <w:bottom w:w="108" w:type="dxa"/>
            </w:tcMar>
          </w:tcPr>
          <w:p w:rsidR="006A6CD0" w:rsidRDefault="007944EB" w:rsidP="00034286">
            <w:pPr>
              <w:pStyle w:val="ListBullet"/>
              <w:numPr>
                <w:ilvl w:val="0"/>
                <w:numId w:val="0"/>
              </w:numPr>
              <w:spacing w:after="240" w:line="276" w:lineRule="auto"/>
              <w:rPr>
                <w:rFonts w:eastAsiaTheme="minorHAnsi" w:cs="Arial"/>
                <w:lang w:eastAsia="en-US"/>
              </w:rPr>
            </w:pPr>
            <w:r w:rsidRPr="007944EB">
              <w:rPr>
                <w:rFonts w:eastAsiaTheme="minorHAnsi" w:cs="Arial"/>
                <w:lang w:eastAsia="en-US"/>
              </w:rPr>
              <w:t xml:space="preserve">An update on progress towards, and plans for, identifying each cluster’s priorities for implementing patient choice of AQP across three service lines between April and September 2012.  </w:t>
            </w:r>
          </w:p>
          <w:p w:rsidR="007944EB" w:rsidRPr="007944EB" w:rsidRDefault="007944EB" w:rsidP="00034286">
            <w:pPr>
              <w:pStyle w:val="ListBullet"/>
              <w:numPr>
                <w:ilvl w:val="0"/>
                <w:numId w:val="0"/>
              </w:numPr>
              <w:spacing w:after="240" w:line="276" w:lineRule="auto"/>
            </w:pPr>
            <w:r>
              <w:rPr>
                <w:rFonts w:eastAsiaTheme="minorHAnsi" w:cs="Arial"/>
                <w:lang w:eastAsia="en-US"/>
              </w:rPr>
              <w:t xml:space="preserve">This includes some generic emerging themes, opportunities and risks identified to date as well as early indications of which services may be considered local priorities. </w:t>
            </w:r>
          </w:p>
        </w:tc>
      </w:tr>
      <w:tr w:rsidR="00FB0B5A" w:rsidRPr="002861F6" w:rsidTr="009565B9">
        <w:tc>
          <w:tcPr>
            <w:tcW w:w="2988" w:type="dxa"/>
            <w:tcMar>
              <w:top w:w="108" w:type="dxa"/>
              <w:bottom w:w="108" w:type="dxa"/>
            </w:tcMar>
          </w:tcPr>
          <w:p w:rsidR="00FB0B5A" w:rsidRPr="002861F6" w:rsidRDefault="00FB0B5A" w:rsidP="002861F6">
            <w:pPr>
              <w:pStyle w:val="Default"/>
              <w:rPr>
                <w:b/>
              </w:rPr>
            </w:pPr>
            <w:r>
              <w:rPr>
                <w:b/>
              </w:rPr>
              <w:t>Summary of recommendations</w:t>
            </w:r>
          </w:p>
        </w:tc>
        <w:tc>
          <w:tcPr>
            <w:tcW w:w="7200" w:type="dxa"/>
            <w:tcMar>
              <w:top w:w="108" w:type="dxa"/>
              <w:bottom w:w="108" w:type="dxa"/>
            </w:tcMar>
          </w:tcPr>
          <w:p w:rsidR="00FB0B5A" w:rsidRDefault="001A47A6" w:rsidP="005E6934">
            <w:pPr>
              <w:pStyle w:val="Default"/>
            </w:pPr>
            <w:r>
              <w:t>The Reform Group to note progress and provide any comment on the work planned to implement AQP in London.</w:t>
            </w:r>
          </w:p>
        </w:tc>
      </w:tr>
      <w:tr w:rsidR="00FB0B5A" w:rsidRPr="002861F6" w:rsidTr="009565B9">
        <w:tc>
          <w:tcPr>
            <w:tcW w:w="2988" w:type="dxa"/>
            <w:tcMar>
              <w:top w:w="108" w:type="dxa"/>
              <w:bottom w:w="108" w:type="dxa"/>
            </w:tcMar>
          </w:tcPr>
          <w:p w:rsidR="00FB0B5A" w:rsidRPr="008673CA" w:rsidRDefault="00FB0B5A" w:rsidP="002861F6">
            <w:pPr>
              <w:pStyle w:val="Default"/>
              <w:rPr>
                <w:b/>
              </w:rPr>
            </w:pPr>
            <w:r w:rsidRPr="008673CA">
              <w:rPr>
                <w:b/>
              </w:rPr>
              <w:t xml:space="preserve">Fit with </w:t>
            </w:r>
            <w:r>
              <w:rPr>
                <w:b/>
              </w:rPr>
              <w:t>NHSL strategy</w:t>
            </w:r>
            <w:r w:rsidRPr="008673CA">
              <w:rPr>
                <w:b/>
              </w:rPr>
              <w:t>:</w:t>
            </w:r>
          </w:p>
        </w:tc>
        <w:tc>
          <w:tcPr>
            <w:tcW w:w="7200" w:type="dxa"/>
          </w:tcPr>
          <w:p w:rsidR="00FB0B5A" w:rsidRDefault="001A47A6" w:rsidP="00034286">
            <w:pPr>
              <w:pStyle w:val="Default"/>
            </w:pPr>
            <w:r>
              <w:t xml:space="preserve">The </w:t>
            </w:r>
            <w:r w:rsidR="00782C45">
              <w:t>Department of Health requires SHAs to oversee the development of patient choice of AQP</w:t>
            </w:r>
            <w:r w:rsidR="00034286">
              <w:t xml:space="preserve"> </w:t>
            </w:r>
            <w:r w:rsidR="00782C45">
              <w:t>by PCT clusters.</w:t>
            </w:r>
          </w:p>
        </w:tc>
      </w:tr>
      <w:tr w:rsidR="00FB0B5A" w:rsidRPr="002861F6" w:rsidTr="009565B9">
        <w:tc>
          <w:tcPr>
            <w:tcW w:w="2988" w:type="dxa"/>
            <w:tcBorders>
              <w:bottom w:val="single" w:sz="4" w:space="0" w:color="000000"/>
            </w:tcBorders>
            <w:tcMar>
              <w:top w:w="108" w:type="dxa"/>
              <w:bottom w:w="108" w:type="dxa"/>
            </w:tcMar>
          </w:tcPr>
          <w:p w:rsidR="00FB0B5A" w:rsidRDefault="00FB0B5A" w:rsidP="002861F6">
            <w:pPr>
              <w:pStyle w:val="Default"/>
              <w:rPr>
                <w:b/>
              </w:rPr>
            </w:pPr>
            <w:r>
              <w:rPr>
                <w:b/>
              </w:rPr>
              <w:t xml:space="preserve">Reference to </w:t>
            </w:r>
            <w:r w:rsidR="00765C42">
              <w:rPr>
                <w:b/>
              </w:rPr>
              <w:t xml:space="preserve">related / </w:t>
            </w:r>
            <w:r>
              <w:rPr>
                <w:b/>
              </w:rPr>
              <w:t>other documents:</w:t>
            </w:r>
          </w:p>
        </w:tc>
        <w:tc>
          <w:tcPr>
            <w:tcW w:w="7200" w:type="dxa"/>
            <w:tcBorders>
              <w:bottom w:val="single" w:sz="4" w:space="0" w:color="000000"/>
            </w:tcBorders>
          </w:tcPr>
          <w:p w:rsidR="00FB0B5A" w:rsidRDefault="005E6934" w:rsidP="0017083C">
            <w:pPr>
              <w:pStyle w:val="Default"/>
            </w:pPr>
            <w:r>
              <w:t>Department of Health guidance published 19 July 2011</w:t>
            </w:r>
          </w:p>
        </w:tc>
      </w:tr>
      <w:tr w:rsidR="00FB0B5A" w:rsidRPr="002861F6" w:rsidTr="009565B9">
        <w:tc>
          <w:tcPr>
            <w:tcW w:w="2988" w:type="dxa"/>
            <w:tcBorders>
              <w:bottom w:val="single" w:sz="4" w:space="0" w:color="000000"/>
            </w:tcBorders>
            <w:tcMar>
              <w:top w:w="108" w:type="dxa"/>
              <w:bottom w:w="108" w:type="dxa"/>
            </w:tcMar>
          </w:tcPr>
          <w:p w:rsidR="00FB0B5A" w:rsidRPr="008673CA" w:rsidRDefault="00FB0B5A" w:rsidP="002861F6">
            <w:pPr>
              <w:pStyle w:val="Default"/>
              <w:rPr>
                <w:b/>
              </w:rPr>
            </w:pPr>
            <w:r>
              <w:rPr>
                <w:b/>
              </w:rPr>
              <w:t>Date paper completed:</w:t>
            </w:r>
          </w:p>
        </w:tc>
        <w:tc>
          <w:tcPr>
            <w:tcW w:w="7200" w:type="dxa"/>
            <w:tcBorders>
              <w:bottom w:val="single" w:sz="4" w:space="0" w:color="000000"/>
            </w:tcBorders>
          </w:tcPr>
          <w:p w:rsidR="00FB0B5A" w:rsidRPr="00026546" w:rsidRDefault="00CB1B29" w:rsidP="00B56F0F">
            <w:pPr>
              <w:pStyle w:val="Default"/>
            </w:pPr>
            <w:r>
              <w:t>30 August</w:t>
            </w:r>
            <w:r w:rsidR="00EB442E">
              <w:t xml:space="preserve"> 2011</w:t>
            </w:r>
          </w:p>
        </w:tc>
      </w:tr>
      <w:tr w:rsidR="00FB0B5A" w:rsidRPr="002861F6" w:rsidTr="009565B9">
        <w:tc>
          <w:tcPr>
            <w:tcW w:w="2988" w:type="dxa"/>
            <w:tcBorders>
              <w:bottom w:val="single" w:sz="4" w:space="0" w:color="000000"/>
            </w:tcBorders>
            <w:tcMar>
              <w:top w:w="108" w:type="dxa"/>
              <w:bottom w:w="108" w:type="dxa"/>
            </w:tcMar>
          </w:tcPr>
          <w:p w:rsidR="00FB0B5A" w:rsidRDefault="00FB0B5A" w:rsidP="002861F6">
            <w:pPr>
              <w:pStyle w:val="Default"/>
              <w:rPr>
                <w:b/>
              </w:rPr>
            </w:pPr>
            <w:r>
              <w:rPr>
                <w:b/>
              </w:rPr>
              <w:t>Other forums that have considered this paper:</w:t>
            </w:r>
          </w:p>
        </w:tc>
        <w:tc>
          <w:tcPr>
            <w:tcW w:w="7200" w:type="dxa"/>
            <w:tcBorders>
              <w:bottom w:val="single" w:sz="4" w:space="0" w:color="000000"/>
            </w:tcBorders>
          </w:tcPr>
          <w:p w:rsidR="00FB0B5A" w:rsidRDefault="00CB1B29" w:rsidP="00B56F0F">
            <w:pPr>
              <w:pStyle w:val="Default"/>
            </w:pPr>
            <w:r>
              <w:t>Cluster CEOs’ meeting 30 August 2011 (since updated to reflect its discussions)</w:t>
            </w:r>
          </w:p>
          <w:p w:rsidR="00CB1B29" w:rsidRDefault="000D2127" w:rsidP="009E1D6E">
            <w:pPr>
              <w:pStyle w:val="Default"/>
            </w:pPr>
            <w:r>
              <w:t>The subject of this paper has been considered by Strategy &amp; Innovation PLG on 19 July</w:t>
            </w:r>
            <w:r w:rsidR="009E1D6E">
              <w:t xml:space="preserve"> and</w:t>
            </w:r>
            <w:r>
              <w:t xml:space="preserve"> Reform Group </w:t>
            </w:r>
            <w:r w:rsidR="008754CE">
              <w:t>1</w:t>
            </w:r>
            <w:r>
              <w:t xml:space="preserve"> August</w:t>
            </w:r>
            <w:r w:rsidR="001A47A6">
              <w:t>.</w:t>
            </w:r>
          </w:p>
        </w:tc>
      </w:tr>
    </w:tbl>
    <w:tbl>
      <w:tblPr>
        <w:tblStyle w:val="TableGrid"/>
        <w:tblW w:w="10191" w:type="dxa"/>
        <w:tblInd w:w="-1026" w:type="dxa"/>
        <w:shd w:val="clear" w:color="auto" w:fill="E0E0E0"/>
        <w:tblLayout w:type="fixed"/>
        <w:tblLook w:val="01E0"/>
      </w:tblPr>
      <w:tblGrid>
        <w:gridCol w:w="2268"/>
        <w:gridCol w:w="720"/>
        <w:gridCol w:w="1871"/>
        <w:gridCol w:w="472"/>
        <w:gridCol w:w="2104"/>
        <w:gridCol w:w="499"/>
        <w:gridCol w:w="1672"/>
        <w:gridCol w:w="567"/>
        <w:gridCol w:w="18"/>
      </w:tblGrid>
      <w:tr w:rsidR="006408BA" w:rsidTr="009565B9">
        <w:trPr>
          <w:gridAfter w:val="1"/>
          <w:wAfter w:w="18" w:type="dxa"/>
        </w:trPr>
        <w:tc>
          <w:tcPr>
            <w:tcW w:w="2988" w:type="dxa"/>
            <w:gridSpan w:val="2"/>
            <w:shd w:val="clear" w:color="auto" w:fill="E0E0E0"/>
          </w:tcPr>
          <w:p w:rsidR="006408BA" w:rsidRPr="006408BA" w:rsidRDefault="006408BA" w:rsidP="006408BA">
            <w:pPr>
              <w:rPr>
                <w:b/>
                <w:sz w:val="22"/>
                <w:szCs w:val="36"/>
              </w:rPr>
            </w:pPr>
            <w:r w:rsidRPr="006408BA">
              <w:rPr>
                <w:b/>
                <w:sz w:val="22"/>
                <w:szCs w:val="36"/>
              </w:rPr>
              <w:t>Author name and title:</w:t>
            </w:r>
          </w:p>
        </w:tc>
        <w:tc>
          <w:tcPr>
            <w:tcW w:w="2343" w:type="dxa"/>
            <w:gridSpan w:val="2"/>
            <w:shd w:val="clear" w:color="auto" w:fill="E0E0E0"/>
          </w:tcPr>
          <w:p w:rsidR="006408BA" w:rsidRPr="00EB442E" w:rsidRDefault="001F282F" w:rsidP="006408BA">
            <w:pPr>
              <w:rPr>
                <w:sz w:val="22"/>
                <w:szCs w:val="36"/>
              </w:rPr>
            </w:pPr>
            <w:r>
              <w:rPr>
                <w:sz w:val="22"/>
                <w:szCs w:val="36"/>
              </w:rPr>
              <w:t>Nigel Littlewood</w:t>
            </w:r>
            <w:r w:rsidR="007E5B38">
              <w:rPr>
                <w:sz w:val="22"/>
                <w:szCs w:val="36"/>
              </w:rPr>
              <w:t>, Commissioning Development Manager</w:t>
            </w:r>
          </w:p>
        </w:tc>
        <w:tc>
          <w:tcPr>
            <w:tcW w:w="2603" w:type="dxa"/>
            <w:gridSpan w:val="2"/>
            <w:shd w:val="clear" w:color="auto" w:fill="E0E0E0"/>
          </w:tcPr>
          <w:p w:rsidR="006408BA" w:rsidRPr="006408BA" w:rsidRDefault="006408BA" w:rsidP="006408BA">
            <w:pPr>
              <w:rPr>
                <w:b/>
                <w:sz w:val="22"/>
                <w:szCs w:val="36"/>
              </w:rPr>
            </w:pPr>
            <w:r w:rsidRPr="006408BA">
              <w:rPr>
                <w:b/>
                <w:sz w:val="22"/>
                <w:szCs w:val="36"/>
              </w:rPr>
              <w:t>Director name and title:</w:t>
            </w:r>
          </w:p>
        </w:tc>
        <w:tc>
          <w:tcPr>
            <w:tcW w:w="2239" w:type="dxa"/>
            <w:gridSpan w:val="2"/>
            <w:shd w:val="clear" w:color="auto" w:fill="E0E0E0"/>
          </w:tcPr>
          <w:p w:rsidR="004E027E" w:rsidRPr="00FB53EA" w:rsidRDefault="007E5B38" w:rsidP="006408BA">
            <w:pPr>
              <w:rPr>
                <w:b/>
                <w:sz w:val="20"/>
                <w:szCs w:val="36"/>
              </w:rPr>
            </w:pPr>
            <w:r w:rsidRPr="00EB442E">
              <w:rPr>
                <w:sz w:val="22"/>
                <w:szCs w:val="36"/>
              </w:rPr>
              <w:t>Helen Cameron, A</w:t>
            </w:r>
            <w:r>
              <w:rPr>
                <w:sz w:val="22"/>
                <w:szCs w:val="36"/>
              </w:rPr>
              <w:t xml:space="preserve">ssistant </w:t>
            </w:r>
            <w:r w:rsidRPr="00EB442E">
              <w:rPr>
                <w:sz w:val="22"/>
                <w:szCs w:val="36"/>
              </w:rPr>
              <w:t>D</w:t>
            </w:r>
            <w:r>
              <w:rPr>
                <w:sz w:val="22"/>
                <w:szCs w:val="36"/>
              </w:rPr>
              <w:t>irector</w:t>
            </w:r>
            <w:r w:rsidRPr="00EB442E">
              <w:rPr>
                <w:sz w:val="22"/>
                <w:szCs w:val="36"/>
              </w:rPr>
              <w:t xml:space="preserve"> Commissioning Development</w:t>
            </w:r>
            <w:r>
              <w:rPr>
                <w:b/>
                <w:sz w:val="20"/>
                <w:szCs w:val="36"/>
              </w:rPr>
              <w:t xml:space="preserve"> </w:t>
            </w:r>
          </w:p>
        </w:tc>
      </w:tr>
      <w:tr w:rsidR="00FB0B5A" w:rsidTr="009565B9">
        <w:tc>
          <w:tcPr>
            <w:tcW w:w="2268" w:type="dxa"/>
            <w:shd w:val="clear" w:color="auto" w:fill="E0E0E0"/>
          </w:tcPr>
          <w:p w:rsidR="00FB0B5A" w:rsidRDefault="002011E9" w:rsidP="00753725">
            <w:pPr>
              <w:rPr>
                <w:b/>
                <w:sz w:val="20"/>
                <w:szCs w:val="36"/>
              </w:rPr>
            </w:pPr>
            <w:r>
              <w:rPr>
                <w:b/>
                <w:sz w:val="20"/>
                <w:szCs w:val="36"/>
              </w:rPr>
              <w:t>F</w:t>
            </w:r>
            <w:r w:rsidR="00FB0B5A">
              <w:rPr>
                <w:b/>
                <w:sz w:val="20"/>
                <w:szCs w:val="36"/>
              </w:rPr>
              <w:t>or EMT/ SSG reports,</w:t>
            </w:r>
          </w:p>
          <w:p w:rsidR="00FB0B5A" w:rsidRPr="00FB53EA" w:rsidRDefault="00FB0B5A" w:rsidP="006408BA">
            <w:pPr>
              <w:rPr>
                <w:b/>
                <w:sz w:val="20"/>
                <w:szCs w:val="36"/>
              </w:rPr>
            </w:pPr>
            <w:r>
              <w:rPr>
                <w:b/>
                <w:sz w:val="20"/>
                <w:szCs w:val="36"/>
              </w:rPr>
              <w:t>Date paper seen by SMT/ PDG</w:t>
            </w:r>
          </w:p>
        </w:tc>
        <w:tc>
          <w:tcPr>
            <w:tcW w:w="720" w:type="dxa"/>
            <w:shd w:val="clear" w:color="auto" w:fill="E0E0E0"/>
          </w:tcPr>
          <w:p w:rsidR="00FB0B5A" w:rsidRDefault="00FB0B5A" w:rsidP="006408BA">
            <w:pPr>
              <w:rPr>
                <w:b/>
                <w:sz w:val="20"/>
                <w:szCs w:val="36"/>
              </w:rPr>
            </w:pPr>
          </w:p>
          <w:p w:rsidR="00EB442E" w:rsidRPr="00EB442E" w:rsidRDefault="00EB442E" w:rsidP="006408BA">
            <w:pPr>
              <w:rPr>
                <w:sz w:val="20"/>
                <w:szCs w:val="36"/>
              </w:rPr>
            </w:pPr>
            <w:r w:rsidRPr="00EB442E">
              <w:rPr>
                <w:sz w:val="20"/>
                <w:szCs w:val="36"/>
              </w:rPr>
              <w:t>n/a</w:t>
            </w:r>
          </w:p>
        </w:tc>
        <w:tc>
          <w:tcPr>
            <w:tcW w:w="1871" w:type="dxa"/>
            <w:shd w:val="clear" w:color="auto" w:fill="E0E0E0"/>
          </w:tcPr>
          <w:p w:rsidR="00FB0B5A" w:rsidRPr="00FB53EA" w:rsidRDefault="00FB0B5A" w:rsidP="006408BA">
            <w:pPr>
              <w:rPr>
                <w:b/>
                <w:sz w:val="20"/>
                <w:szCs w:val="36"/>
              </w:rPr>
            </w:pPr>
            <w:r w:rsidRPr="00FB53EA">
              <w:rPr>
                <w:b/>
                <w:sz w:val="20"/>
                <w:szCs w:val="36"/>
              </w:rPr>
              <w:t>Equality Impact Assessment complete?</w:t>
            </w:r>
          </w:p>
        </w:tc>
        <w:tc>
          <w:tcPr>
            <w:tcW w:w="472" w:type="dxa"/>
            <w:shd w:val="clear" w:color="auto" w:fill="E0E0E0"/>
          </w:tcPr>
          <w:p w:rsidR="00EB442E" w:rsidRDefault="00EB442E" w:rsidP="006408BA">
            <w:pPr>
              <w:rPr>
                <w:sz w:val="20"/>
                <w:szCs w:val="36"/>
              </w:rPr>
            </w:pPr>
          </w:p>
          <w:p w:rsidR="00EB442E" w:rsidRPr="00EB442E" w:rsidRDefault="00EB442E" w:rsidP="006408BA">
            <w:pPr>
              <w:rPr>
                <w:sz w:val="20"/>
                <w:szCs w:val="36"/>
              </w:rPr>
            </w:pPr>
            <w:r>
              <w:rPr>
                <w:sz w:val="20"/>
                <w:szCs w:val="36"/>
              </w:rPr>
              <w:t>No</w:t>
            </w:r>
          </w:p>
        </w:tc>
        <w:tc>
          <w:tcPr>
            <w:tcW w:w="2104" w:type="dxa"/>
            <w:shd w:val="clear" w:color="auto" w:fill="E0E0E0"/>
          </w:tcPr>
          <w:p w:rsidR="00FB0B5A" w:rsidRPr="00FB53EA" w:rsidRDefault="00FB0B5A" w:rsidP="006408BA">
            <w:pPr>
              <w:rPr>
                <w:b/>
                <w:sz w:val="20"/>
                <w:szCs w:val="36"/>
              </w:rPr>
            </w:pPr>
            <w:r w:rsidRPr="00FB53EA">
              <w:rPr>
                <w:b/>
                <w:sz w:val="20"/>
                <w:szCs w:val="36"/>
              </w:rPr>
              <w:t>Risk assessment undertaken?</w:t>
            </w:r>
          </w:p>
        </w:tc>
        <w:tc>
          <w:tcPr>
            <w:tcW w:w="499" w:type="dxa"/>
            <w:shd w:val="clear" w:color="auto" w:fill="E0E0E0"/>
          </w:tcPr>
          <w:p w:rsidR="00FB0B5A" w:rsidRDefault="00FB0B5A" w:rsidP="006408BA">
            <w:pPr>
              <w:rPr>
                <w:b/>
                <w:sz w:val="20"/>
                <w:szCs w:val="36"/>
              </w:rPr>
            </w:pPr>
          </w:p>
          <w:p w:rsidR="00EB442E" w:rsidRPr="00EB442E" w:rsidRDefault="00EB442E" w:rsidP="006408BA">
            <w:pPr>
              <w:rPr>
                <w:sz w:val="20"/>
                <w:szCs w:val="36"/>
              </w:rPr>
            </w:pPr>
            <w:r w:rsidRPr="00EB442E">
              <w:rPr>
                <w:sz w:val="20"/>
                <w:szCs w:val="36"/>
              </w:rPr>
              <w:t>No</w:t>
            </w:r>
          </w:p>
        </w:tc>
        <w:tc>
          <w:tcPr>
            <w:tcW w:w="1672" w:type="dxa"/>
            <w:shd w:val="clear" w:color="auto" w:fill="E0E0E0"/>
          </w:tcPr>
          <w:p w:rsidR="00FB0B5A" w:rsidRPr="00FB53EA" w:rsidRDefault="00FB0B5A" w:rsidP="006408BA">
            <w:pPr>
              <w:rPr>
                <w:b/>
                <w:sz w:val="20"/>
                <w:szCs w:val="36"/>
              </w:rPr>
            </w:pPr>
            <w:r w:rsidRPr="00FB53EA">
              <w:rPr>
                <w:b/>
                <w:sz w:val="20"/>
                <w:szCs w:val="36"/>
              </w:rPr>
              <w:t>Legal advice received?</w:t>
            </w:r>
          </w:p>
        </w:tc>
        <w:tc>
          <w:tcPr>
            <w:tcW w:w="585" w:type="dxa"/>
            <w:gridSpan w:val="2"/>
            <w:shd w:val="clear" w:color="auto" w:fill="E0E0E0"/>
          </w:tcPr>
          <w:p w:rsidR="00FB0B5A" w:rsidRDefault="00FB0B5A" w:rsidP="00C24F6B">
            <w:pPr>
              <w:jc w:val="center"/>
              <w:rPr>
                <w:b/>
                <w:sz w:val="20"/>
                <w:szCs w:val="36"/>
              </w:rPr>
            </w:pPr>
          </w:p>
          <w:p w:rsidR="00EB442E" w:rsidRPr="00EB442E" w:rsidRDefault="00EB442E" w:rsidP="00C24F6B">
            <w:pPr>
              <w:jc w:val="center"/>
              <w:rPr>
                <w:sz w:val="20"/>
                <w:szCs w:val="36"/>
              </w:rPr>
            </w:pPr>
            <w:r w:rsidRPr="00EB442E">
              <w:rPr>
                <w:sz w:val="20"/>
                <w:szCs w:val="36"/>
              </w:rPr>
              <w:t>No</w:t>
            </w:r>
          </w:p>
        </w:tc>
      </w:tr>
    </w:tbl>
    <w:p w:rsidR="000D2127" w:rsidRDefault="000D2127" w:rsidP="00CB1B29">
      <w:pPr>
        <w:keepNext/>
        <w:keepLines/>
        <w:spacing w:after="240" w:line="276" w:lineRule="auto"/>
        <w:jc w:val="center"/>
        <w:outlineLvl w:val="0"/>
        <w:rPr>
          <w:rFonts w:eastAsiaTheme="majorEastAsia" w:cs="Arial"/>
          <w:b/>
          <w:bCs/>
          <w:sz w:val="22"/>
          <w:szCs w:val="22"/>
          <w:lang w:eastAsia="en-US"/>
        </w:rPr>
      </w:pPr>
    </w:p>
    <w:p w:rsidR="000D2127" w:rsidRDefault="000D2127">
      <w:pPr>
        <w:rPr>
          <w:rFonts w:eastAsiaTheme="majorEastAsia" w:cs="Arial"/>
          <w:b/>
          <w:bCs/>
          <w:sz w:val="22"/>
          <w:szCs w:val="22"/>
          <w:lang w:eastAsia="en-US"/>
        </w:rPr>
      </w:pPr>
      <w:r>
        <w:rPr>
          <w:rFonts w:eastAsiaTheme="majorEastAsia" w:cs="Arial"/>
          <w:b/>
          <w:bCs/>
          <w:sz w:val="22"/>
          <w:szCs w:val="22"/>
          <w:lang w:eastAsia="en-US"/>
        </w:rPr>
        <w:br w:type="page"/>
      </w:r>
    </w:p>
    <w:p w:rsidR="000D2127" w:rsidRDefault="000D2127" w:rsidP="00CB1B29">
      <w:pPr>
        <w:keepNext/>
        <w:keepLines/>
        <w:spacing w:after="240" w:line="276" w:lineRule="auto"/>
        <w:jc w:val="center"/>
        <w:outlineLvl w:val="0"/>
        <w:rPr>
          <w:rFonts w:eastAsiaTheme="majorEastAsia" w:cs="Arial"/>
          <w:b/>
          <w:bCs/>
          <w:sz w:val="22"/>
          <w:szCs w:val="22"/>
          <w:lang w:eastAsia="en-US"/>
        </w:rPr>
      </w:pPr>
    </w:p>
    <w:p w:rsidR="00CB1B29" w:rsidRPr="009565B9" w:rsidRDefault="00CB1B29" w:rsidP="009565B9">
      <w:pPr>
        <w:keepNext/>
        <w:keepLines/>
        <w:spacing w:after="240" w:line="276" w:lineRule="auto"/>
        <w:ind w:left="-567" w:hanging="567"/>
        <w:jc w:val="center"/>
        <w:outlineLvl w:val="0"/>
        <w:rPr>
          <w:rFonts w:eastAsiaTheme="majorEastAsia" w:cs="Arial"/>
          <w:b/>
          <w:bCs/>
          <w:lang w:eastAsia="en-US"/>
        </w:rPr>
      </w:pPr>
      <w:r w:rsidRPr="009565B9">
        <w:rPr>
          <w:rFonts w:eastAsiaTheme="majorEastAsia" w:cs="Arial"/>
          <w:b/>
          <w:bCs/>
          <w:lang w:eastAsia="en-US"/>
        </w:rPr>
        <w:t>Any Qualified Provider (AQP) update</w:t>
      </w:r>
    </w:p>
    <w:p w:rsidR="00CB1B29" w:rsidRPr="009565B9" w:rsidRDefault="00CB1B29" w:rsidP="009565B9">
      <w:pPr>
        <w:keepNext/>
        <w:keepLines/>
        <w:numPr>
          <w:ilvl w:val="0"/>
          <w:numId w:val="19"/>
        </w:numPr>
        <w:tabs>
          <w:tab w:val="clear" w:pos="798"/>
          <w:tab w:val="num" w:pos="360"/>
        </w:tabs>
        <w:spacing w:after="240" w:line="276" w:lineRule="auto"/>
        <w:ind w:left="-567" w:hanging="567"/>
        <w:outlineLvl w:val="2"/>
        <w:rPr>
          <w:rFonts w:eastAsiaTheme="majorEastAsia" w:cs="Arial"/>
          <w:b/>
          <w:bCs/>
          <w:lang w:eastAsia="en-US"/>
        </w:rPr>
      </w:pPr>
      <w:r w:rsidRPr="009565B9">
        <w:rPr>
          <w:rFonts w:eastAsiaTheme="majorEastAsia" w:cs="Arial"/>
          <w:b/>
          <w:bCs/>
          <w:lang w:eastAsia="en-US"/>
        </w:rPr>
        <w:t>Introduction</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1.1</w:t>
      </w:r>
      <w:r w:rsidRPr="009565B9">
        <w:rPr>
          <w:rFonts w:eastAsiaTheme="minorHAnsi" w:cs="Arial"/>
          <w:lang w:eastAsia="en-US"/>
        </w:rPr>
        <w:tab/>
        <w:t xml:space="preserve">This paper </w:t>
      </w:r>
      <w:r w:rsidR="00245EA7" w:rsidRPr="009565B9">
        <w:rPr>
          <w:rFonts w:eastAsiaTheme="minorHAnsi" w:cs="Arial"/>
          <w:lang w:eastAsia="en-US"/>
        </w:rPr>
        <w:t>provides an update</w:t>
      </w:r>
      <w:r w:rsidRPr="009565B9">
        <w:rPr>
          <w:rFonts w:eastAsiaTheme="minorHAnsi" w:cs="Arial"/>
          <w:lang w:eastAsia="en-US"/>
        </w:rPr>
        <w:t xml:space="preserve"> on progress towards, and plans for, identifying each cluster’s priorities for implementing patient choice of AQP across three service lines between April and September 2012.  This work also considers what opportunities and risks there may be in implementing across more than one cluster or pan-London.</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1.2</w:t>
      </w:r>
      <w:r w:rsidRPr="009565B9">
        <w:rPr>
          <w:rFonts w:eastAsiaTheme="minorHAnsi" w:cs="Arial"/>
          <w:lang w:eastAsia="en-US"/>
        </w:rPr>
        <w:tab/>
      </w:r>
      <w:r w:rsidR="0082700C" w:rsidRPr="009565B9">
        <w:rPr>
          <w:rFonts w:eastAsiaTheme="minorHAnsi" w:cs="Arial"/>
          <w:lang w:eastAsia="en-US"/>
        </w:rPr>
        <w:t xml:space="preserve">The </w:t>
      </w:r>
      <w:r w:rsidR="00245EA7" w:rsidRPr="009565B9">
        <w:rPr>
          <w:rFonts w:eastAsiaTheme="minorHAnsi" w:cs="Arial"/>
          <w:lang w:eastAsia="en-US"/>
        </w:rPr>
        <w:t>Reform Group is</w:t>
      </w:r>
      <w:r w:rsidRPr="009565B9">
        <w:rPr>
          <w:rFonts w:eastAsiaTheme="minorHAnsi" w:cs="Arial"/>
          <w:lang w:eastAsia="en-US"/>
        </w:rPr>
        <w:t xml:space="preserve"> invited to note and comment on the contents of the paper </w:t>
      </w:r>
      <w:r w:rsidR="00782C45" w:rsidRPr="009565B9">
        <w:rPr>
          <w:rFonts w:eastAsiaTheme="minorHAnsi" w:cs="Arial"/>
          <w:lang w:eastAsia="en-US"/>
        </w:rPr>
        <w:t>outlining</w:t>
      </w:r>
      <w:r w:rsidRPr="009565B9">
        <w:rPr>
          <w:rFonts w:eastAsiaTheme="minorHAnsi" w:cs="Arial"/>
          <w:lang w:eastAsia="en-US"/>
        </w:rPr>
        <w:t xml:space="preserve"> the process for </w:t>
      </w:r>
      <w:r w:rsidR="0082700C" w:rsidRPr="009565B9">
        <w:rPr>
          <w:rFonts w:eastAsiaTheme="minorHAnsi" w:cs="Arial"/>
          <w:lang w:eastAsia="en-US"/>
        </w:rPr>
        <w:t>deciding</w:t>
      </w:r>
      <w:r w:rsidRPr="009565B9">
        <w:rPr>
          <w:rFonts w:eastAsiaTheme="minorHAnsi" w:cs="Arial"/>
          <w:lang w:eastAsia="en-US"/>
        </w:rPr>
        <w:t xml:space="preserve"> which services should be implemented </w:t>
      </w:r>
      <w:r w:rsidR="0082700C" w:rsidRPr="009565B9">
        <w:rPr>
          <w:rFonts w:eastAsiaTheme="minorHAnsi" w:cs="Arial"/>
          <w:lang w:eastAsia="en-US"/>
        </w:rPr>
        <w:t xml:space="preserve">for AQP </w:t>
      </w:r>
      <w:r w:rsidRPr="009565B9">
        <w:rPr>
          <w:rFonts w:eastAsiaTheme="minorHAnsi" w:cs="Arial"/>
          <w:lang w:eastAsia="en-US"/>
        </w:rPr>
        <w:t>in 2012.</w:t>
      </w:r>
    </w:p>
    <w:p w:rsidR="00CB1B29" w:rsidRPr="009565B9" w:rsidRDefault="00CB1B29" w:rsidP="009565B9">
      <w:pPr>
        <w:spacing w:after="240" w:line="276" w:lineRule="auto"/>
        <w:ind w:left="-567" w:hanging="567"/>
        <w:rPr>
          <w:rFonts w:eastAsiaTheme="minorHAnsi" w:cs="Arial"/>
          <w:b/>
          <w:lang w:eastAsia="en-US"/>
        </w:rPr>
      </w:pPr>
      <w:r w:rsidRPr="009565B9">
        <w:rPr>
          <w:rFonts w:eastAsiaTheme="minorHAnsi" w:cs="Arial"/>
          <w:b/>
          <w:lang w:eastAsia="en-US"/>
        </w:rPr>
        <w:t>2.</w:t>
      </w:r>
      <w:r w:rsidRPr="009565B9">
        <w:rPr>
          <w:rFonts w:eastAsiaTheme="minorHAnsi" w:cs="Arial"/>
          <w:b/>
          <w:lang w:eastAsia="en-US"/>
        </w:rPr>
        <w:tab/>
        <w:t>Background</w:t>
      </w:r>
    </w:p>
    <w:p w:rsidR="00CB1B29" w:rsidRPr="009565B9" w:rsidRDefault="00CB1B29" w:rsidP="009565B9">
      <w:pPr>
        <w:autoSpaceDE w:val="0"/>
        <w:autoSpaceDN w:val="0"/>
        <w:adjustRightInd w:val="0"/>
        <w:spacing w:after="240" w:line="276" w:lineRule="auto"/>
        <w:ind w:left="-567" w:hanging="567"/>
        <w:rPr>
          <w:rFonts w:eastAsiaTheme="minorHAnsi" w:cs="Arial"/>
          <w:color w:val="000000"/>
          <w:lang w:eastAsia="en-US"/>
        </w:rPr>
      </w:pPr>
      <w:r w:rsidRPr="009565B9">
        <w:rPr>
          <w:rFonts w:eastAsiaTheme="minorHAnsi" w:cs="Arial"/>
          <w:color w:val="000000"/>
          <w:lang w:eastAsia="en-US"/>
        </w:rPr>
        <w:t>2.1</w:t>
      </w:r>
      <w:r w:rsidRPr="009565B9">
        <w:rPr>
          <w:rFonts w:eastAsiaTheme="minorHAnsi" w:cs="Arial"/>
          <w:color w:val="000000"/>
          <w:lang w:eastAsia="en-US"/>
        </w:rPr>
        <w:tab/>
        <w:t xml:space="preserve">On 19 July, </w:t>
      </w:r>
      <w:r w:rsidR="0082700C" w:rsidRPr="009565B9">
        <w:rPr>
          <w:rFonts w:eastAsiaTheme="minorHAnsi" w:cs="Arial"/>
          <w:color w:val="000000"/>
          <w:lang w:eastAsia="en-US"/>
        </w:rPr>
        <w:t xml:space="preserve">the </w:t>
      </w:r>
      <w:r w:rsidRPr="009565B9">
        <w:rPr>
          <w:rFonts w:eastAsiaTheme="minorHAnsi" w:cs="Arial"/>
          <w:color w:val="000000"/>
          <w:lang w:eastAsia="en-US"/>
        </w:rPr>
        <w:t>Department of Health (DH) published guidance setting out:</w:t>
      </w:r>
    </w:p>
    <w:p w:rsidR="00CB1B29" w:rsidRPr="009565B9" w:rsidRDefault="00CB1B29" w:rsidP="009565B9">
      <w:pPr>
        <w:numPr>
          <w:ilvl w:val="0"/>
          <w:numId w:val="29"/>
        </w:numPr>
        <w:autoSpaceDE w:val="0"/>
        <w:autoSpaceDN w:val="0"/>
        <w:adjustRightInd w:val="0"/>
        <w:spacing w:after="240" w:line="276" w:lineRule="auto"/>
        <w:ind w:left="0" w:hanging="567"/>
        <w:rPr>
          <w:rFonts w:eastAsiaTheme="minorHAnsi" w:cs="Arial"/>
          <w:bCs/>
          <w:color w:val="000000"/>
          <w:lang w:eastAsia="en-US"/>
        </w:rPr>
      </w:pPr>
      <w:r w:rsidRPr="009565B9">
        <w:rPr>
          <w:rFonts w:eastAsiaTheme="minorHAnsi" w:cs="Arial"/>
          <w:bCs/>
          <w:color w:val="000000"/>
          <w:lang w:eastAsia="en-US"/>
        </w:rPr>
        <w:t>By October 2011, PCT clusters are expected to identify three or more community or mental health services in which to implement patient choice of Any Qualified Provider in 2012/13, based on the priorities of pathfinder</w:t>
      </w:r>
      <w:r w:rsidR="0082700C" w:rsidRPr="009565B9">
        <w:rPr>
          <w:rFonts w:eastAsiaTheme="minorHAnsi" w:cs="Arial"/>
          <w:bCs/>
          <w:color w:val="000000"/>
          <w:lang w:eastAsia="en-US"/>
        </w:rPr>
        <w:t>s</w:t>
      </w:r>
      <w:r w:rsidRPr="009565B9">
        <w:rPr>
          <w:rFonts w:eastAsiaTheme="minorHAnsi" w:cs="Arial"/>
          <w:bCs/>
          <w:color w:val="000000"/>
          <w:lang w:eastAsia="en-US"/>
        </w:rPr>
        <w:t xml:space="preserve">, and having engaged with local </w:t>
      </w:r>
      <w:r w:rsidRPr="009565B9">
        <w:rPr>
          <w:rFonts w:eastAsiaTheme="minorHAnsi" w:cs="Arial"/>
          <w:bCs/>
          <w:lang w:eastAsia="en-US"/>
        </w:rPr>
        <w:t>patients, local authorities and</w:t>
      </w:r>
      <w:r w:rsidRPr="009565B9">
        <w:rPr>
          <w:rFonts w:eastAsiaTheme="minorHAnsi" w:cs="Arial"/>
          <w:bCs/>
          <w:color w:val="000000"/>
          <w:lang w:eastAsia="en-US"/>
        </w:rPr>
        <w:t xml:space="preserve"> professionals. Their selection of these services should be based on patients’ priorities for improving quality of, and access to, NHS services. </w:t>
      </w:r>
    </w:p>
    <w:p w:rsidR="00245EA7" w:rsidRPr="009565B9" w:rsidRDefault="00CB1B29" w:rsidP="009565B9">
      <w:pPr>
        <w:numPr>
          <w:ilvl w:val="0"/>
          <w:numId w:val="29"/>
        </w:numPr>
        <w:autoSpaceDE w:val="0"/>
        <w:autoSpaceDN w:val="0"/>
        <w:adjustRightInd w:val="0"/>
        <w:spacing w:after="240" w:line="276" w:lineRule="auto"/>
        <w:ind w:left="0" w:hanging="567"/>
        <w:rPr>
          <w:rFonts w:eastAsiaTheme="minorHAnsi" w:cs="Arial"/>
          <w:bCs/>
          <w:color w:val="000000"/>
          <w:lang w:eastAsia="en-US"/>
        </w:rPr>
      </w:pPr>
      <w:r w:rsidRPr="009565B9">
        <w:rPr>
          <w:rFonts w:cs="Arial"/>
          <w:bCs/>
          <w:color w:val="000000"/>
        </w:rPr>
        <w:t xml:space="preserve">Between April and September 2012, PCT clusters should implement patient choice of Any Qualified Provider in those services agreed locally. </w:t>
      </w:r>
    </w:p>
    <w:p w:rsidR="00245EA7" w:rsidRPr="009565B9" w:rsidRDefault="000D2127" w:rsidP="009565B9">
      <w:pPr>
        <w:autoSpaceDE w:val="0"/>
        <w:autoSpaceDN w:val="0"/>
        <w:adjustRightInd w:val="0"/>
        <w:spacing w:after="240" w:line="276" w:lineRule="auto"/>
        <w:ind w:left="-567" w:hanging="567"/>
        <w:rPr>
          <w:rFonts w:eastAsiaTheme="minorHAnsi" w:cs="Arial"/>
          <w:bCs/>
          <w:color w:val="000000"/>
          <w:lang w:eastAsia="en-US"/>
        </w:rPr>
      </w:pPr>
      <w:r w:rsidRPr="009565B9">
        <w:rPr>
          <w:rFonts w:eastAsiaTheme="minorHAnsi" w:cs="Arial"/>
          <w:lang w:eastAsia="en-US"/>
        </w:rPr>
        <w:t>2</w:t>
      </w:r>
      <w:r w:rsidR="00CB1B29" w:rsidRPr="009565B9">
        <w:rPr>
          <w:rFonts w:eastAsiaTheme="minorHAnsi" w:cs="Arial"/>
          <w:lang w:eastAsia="en-US"/>
        </w:rPr>
        <w:t>.2</w:t>
      </w:r>
      <w:r w:rsidR="00CB1B29" w:rsidRPr="009565B9">
        <w:rPr>
          <w:rFonts w:eastAsiaTheme="minorHAnsi" w:cs="Arial"/>
          <w:lang w:eastAsia="en-US"/>
        </w:rPr>
        <w:tab/>
        <w:t>Anticipated benefits of offering choice of AQP include:</w:t>
      </w:r>
      <w:r w:rsidR="00245EA7" w:rsidRPr="009565B9">
        <w:rPr>
          <w:rFonts w:eastAsiaTheme="minorHAnsi" w:cs="Arial"/>
          <w:bCs/>
          <w:color w:val="000000"/>
          <w:lang w:eastAsia="en-US"/>
        </w:rPr>
        <w:t xml:space="preserve"> </w:t>
      </w:r>
    </w:p>
    <w:p w:rsidR="00CB1B29" w:rsidRPr="009565B9" w:rsidRDefault="00CB1B29" w:rsidP="009565B9">
      <w:pPr>
        <w:pStyle w:val="ListParagraph"/>
        <w:numPr>
          <w:ilvl w:val="0"/>
          <w:numId w:val="29"/>
        </w:numPr>
        <w:autoSpaceDE w:val="0"/>
        <w:autoSpaceDN w:val="0"/>
        <w:adjustRightInd w:val="0"/>
        <w:spacing w:after="240" w:line="276" w:lineRule="auto"/>
        <w:ind w:left="0" w:hanging="567"/>
        <w:rPr>
          <w:rFonts w:eastAsiaTheme="minorHAnsi" w:cs="Arial"/>
        </w:rPr>
      </w:pPr>
      <w:r w:rsidRPr="009565B9">
        <w:rPr>
          <w:rFonts w:eastAsiaTheme="minorHAnsi" w:cs="Arial"/>
        </w:rPr>
        <w:t xml:space="preserve">Giving patients the right to choose how they access treatment  in a manner most appropriate to their needs </w:t>
      </w:r>
    </w:p>
    <w:p w:rsidR="00245EA7" w:rsidRPr="009565B9" w:rsidRDefault="00CB1B29" w:rsidP="009565B9">
      <w:pPr>
        <w:numPr>
          <w:ilvl w:val="0"/>
          <w:numId w:val="29"/>
        </w:numPr>
        <w:autoSpaceDE w:val="0"/>
        <w:autoSpaceDN w:val="0"/>
        <w:adjustRightInd w:val="0"/>
        <w:spacing w:after="240" w:line="276" w:lineRule="auto"/>
        <w:ind w:left="0" w:hanging="567"/>
        <w:rPr>
          <w:rFonts w:eastAsiaTheme="minorHAnsi" w:cs="Arial"/>
          <w:bCs/>
          <w:color w:val="000000"/>
          <w:lang w:eastAsia="en-US"/>
        </w:rPr>
      </w:pPr>
      <w:r w:rsidRPr="009565B9">
        <w:rPr>
          <w:rFonts w:eastAsiaTheme="minorHAnsi" w:cs="Arial"/>
        </w:rPr>
        <w:t>Driving up quality and providing levers for the best quality providers to grow; and</w:t>
      </w:r>
    </w:p>
    <w:p w:rsidR="00245EA7" w:rsidRPr="009565B9" w:rsidRDefault="00CB1B29" w:rsidP="009565B9">
      <w:pPr>
        <w:numPr>
          <w:ilvl w:val="0"/>
          <w:numId w:val="29"/>
        </w:numPr>
        <w:autoSpaceDE w:val="0"/>
        <w:autoSpaceDN w:val="0"/>
        <w:adjustRightInd w:val="0"/>
        <w:spacing w:after="240" w:line="276" w:lineRule="auto"/>
        <w:ind w:left="0" w:hanging="567"/>
        <w:rPr>
          <w:rFonts w:eastAsiaTheme="minorHAnsi" w:cs="Arial"/>
          <w:bCs/>
          <w:color w:val="000000"/>
          <w:lang w:eastAsia="en-US"/>
        </w:rPr>
      </w:pPr>
      <w:r w:rsidRPr="009565B9">
        <w:rPr>
          <w:rFonts w:eastAsiaTheme="minorHAnsi" w:cs="Arial"/>
        </w:rPr>
        <w:t>Encouraging innovation.</w:t>
      </w:r>
      <w:r w:rsidR="00245EA7" w:rsidRPr="009565B9">
        <w:rPr>
          <w:rFonts w:eastAsiaTheme="minorHAnsi" w:cs="Arial"/>
          <w:bCs/>
          <w:color w:val="000000"/>
          <w:lang w:eastAsia="en-US"/>
        </w:rPr>
        <w:t xml:space="preserve"> </w:t>
      </w:r>
    </w:p>
    <w:p w:rsidR="00245EA7" w:rsidRPr="009565B9" w:rsidRDefault="000D2127" w:rsidP="009565B9">
      <w:pPr>
        <w:tabs>
          <w:tab w:val="left" w:pos="1134"/>
        </w:tabs>
        <w:autoSpaceDE w:val="0"/>
        <w:autoSpaceDN w:val="0"/>
        <w:adjustRightInd w:val="0"/>
        <w:spacing w:after="240" w:line="276" w:lineRule="auto"/>
        <w:ind w:left="-567" w:hanging="567"/>
        <w:contextualSpacing/>
        <w:rPr>
          <w:rFonts w:eastAsiaTheme="minorHAnsi" w:cs="Arial"/>
          <w:bCs/>
          <w:color w:val="000000"/>
          <w:lang w:eastAsia="en-US"/>
        </w:rPr>
      </w:pPr>
      <w:r w:rsidRPr="009565B9">
        <w:rPr>
          <w:rFonts w:cs="Arial"/>
        </w:rPr>
        <w:t>2.3</w:t>
      </w:r>
      <w:r w:rsidRPr="009565B9">
        <w:rPr>
          <w:rFonts w:cs="Arial"/>
        </w:rPr>
        <w:tab/>
      </w:r>
      <w:r w:rsidR="00CB1B29" w:rsidRPr="009565B9">
        <w:rPr>
          <w:rFonts w:cs="Arial"/>
        </w:rPr>
        <w:t>The DH has identified a list of services that could benefit from additional choice, improved quality and challenge to existing providers:</w:t>
      </w:r>
      <w:r w:rsidR="00245EA7" w:rsidRPr="009565B9">
        <w:rPr>
          <w:rFonts w:eastAsiaTheme="minorHAnsi" w:cs="Arial"/>
          <w:bCs/>
          <w:color w:val="000000"/>
          <w:lang w:eastAsia="en-US"/>
        </w:rPr>
        <w:t xml:space="preserve"> </w:t>
      </w:r>
    </w:p>
    <w:p w:rsidR="00CB1B29" w:rsidRPr="009565B9" w:rsidRDefault="00CB1B29" w:rsidP="009565B9">
      <w:pPr>
        <w:pStyle w:val="ListParagraph"/>
        <w:numPr>
          <w:ilvl w:val="0"/>
          <w:numId w:val="29"/>
        </w:numPr>
        <w:tabs>
          <w:tab w:val="left" w:pos="709"/>
        </w:tabs>
        <w:autoSpaceDE w:val="0"/>
        <w:autoSpaceDN w:val="0"/>
        <w:adjustRightInd w:val="0"/>
        <w:spacing w:line="276" w:lineRule="auto"/>
        <w:ind w:left="0" w:hanging="567"/>
        <w:rPr>
          <w:rFonts w:cs="Arial"/>
        </w:rPr>
      </w:pPr>
      <w:r w:rsidRPr="009565B9">
        <w:rPr>
          <w:rFonts w:cs="Arial"/>
        </w:rPr>
        <w:t>Musculo-skeletal (MSK) services for back and neck pain</w:t>
      </w:r>
    </w:p>
    <w:p w:rsidR="00CB1B29" w:rsidRPr="009565B9" w:rsidRDefault="00CB1B29" w:rsidP="009565B9">
      <w:pPr>
        <w:numPr>
          <w:ilvl w:val="0"/>
          <w:numId w:val="30"/>
        </w:numPr>
        <w:spacing w:line="276" w:lineRule="auto"/>
        <w:ind w:left="0" w:hanging="567"/>
        <w:rPr>
          <w:rFonts w:cs="Arial"/>
        </w:rPr>
      </w:pPr>
      <w:r w:rsidRPr="009565B9">
        <w:rPr>
          <w:rFonts w:cs="Arial"/>
        </w:rPr>
        <w:t xml:space="preserve">Adult hearing services in the community </w:t>
      </w:r>
    </w:p>
    <w:p w:rsidR="00CB1B29" w:rsidRPr="009565B9" w:rsidRDefault="00CB1B29" w:rsidP="009565B9">
      <w:pPr>
        <w:numPr>
          <w:ilvl w:val="0"/>
          <w:numId w:val="30"/>
        </w:numPr>
        <w:spacing w:line="276" w:lineRule="auto"/>
        <w:ind w:left="0" w:hanging="567"/>
        <w:rPr>
          <w:rFonts w:cs="Arial"/>
        </w:rPr>
      </w:pPr>
      <w:r w:rsidRPr="009565B9">
        <w:rPr>
          <w:rFonts w:cs="Arial"/>
        </w:rPr>
        <w:t xml:space="preserve">Continence services (adults and children) </w:t>
      </w:r>
    </w:p>
    <w:p w:rsidR="00CB1B29" w:rsidRPr="009565B9" w:rsidRDefault="00CB1B29" w:rsidP="009565B9">
      <w:pPr>
        <w:numPr>
          <w:ilvl w:val="0"/>
          <w:numId w:val="30"/>
        </w:numPr>
        <w:spacing w:line="276" w:lineRule="auto"/>
        <w:ind w:left="0" w:hanging="567"/>
        <w:rPr>
          <w:rFonts w:cs="Arial"/>
        </w:rPr>
      </w:pPr>
      <w:r w:rsidRPr="009565B9">
        <w:rPr>
          <w:rFonts w:cs="Arial"/>
        </w:rPr>
        <w:lastRenderedPageBreak/>
        <w:t xml:space="preserve">Diagnostic tests closer to home such as some types of imaging, cardiac and respiratory investigations to support primary assessment of presenting symptoms  </w:t>
      </w:r>
    </w:p>
    <w:p w:rsidR="00CB1B29" w:rsidRPr="009565B9" w:rsidRDefault="00CB1B29" w:rsidP="009565B9">
      <w:pPr>
        <w:numPr>
          <w:ilvl w:val="0"/>
          <w:numId w:val="30"/>
        </w:numPr>
        <w:spacing w:line="276" w:lineRule="auto"/>
        <w:ind w:left="0" w:hanging="567"/>
        <w:rPr>
          <w:rFonts w:cs="Arial"/>
        </w:rPr>
      </w:pPr>
      <w:r w:rsidRPr="009565B9">
        <w:rPr>
          <w:rFonts w:cs="Arial"/>
        </w:rPr>
        <w:t xml:space="preserve">Wheelchair services (children) </w:t>
      </w:r>
    </w:p>
    <w:p w:rsidR="00CB1B29" w:rsidRPr="009565B9" w:rsidRDefault="00CB1B29" w:rsidP="009565B9">
      <w:pPr>
        <w:numPr>
          <w:ilvl w:val="0"/>
          <w:numId w:val="30"/>
        </w:numPr>
        <w:spacing w:line="276" w:lineRule="auto"/>
        <w:ind w:left="0" w:hanging="567"/>
        <w:rPr>
          <w:rFonts w:cs="Arial"/>
        </w:rPr>
      </w:pPr>
      <w:r w:rsidRPr="009565B9">
        <w:rPr>
          <w:rFonts w:cs="Arial"/>
        </w:rPr>
        <w:t xml:space="preserve">Podiatry services </w:t>
      </w:r>
    </w:p>
    <w:p w:rsidR="00CB1B29" w:rsidRPr="009565B9" w:rsidRDefault="00CB1B29" w:rsidP="009565B9">
      <w:pPr>
        <w:numPr>
          <w:ilvl w:val="0"/>
          <w:numId w:val="30"/>
        </w:numPr>
        <w:spacing w:line="276" w:lineRule="auto"/>
        <w:ind w:left="0" w:hanging="567"/>
        <w:rPr>
          <w:rFonts w:cs="Arial"/>
        </w:rPr>
      </w:pPr>
      <w:r w:rsidRPr="009565B9">
        <w:rPr>
          <w:rFonts w:cs="Arial"/>
        </w:rPr>
        <w:t xml:space="preserve">Venous leg ulcer and wound healing </w:t>
      </w:r>
    </w:p>
    <w:p w:rsidR="00CB1B29" w:rsidRPr="009565B9" w:rsidRDefault="00CB1B29" w:rsidP="009565B9">
      <w:pPr>
        <w:numPr>
          <w:ilvl w:val="0"/>
          <w:numId w:val="30"/>
        </w:numPr>
        <w:spacing w:after="240" w:line="276" w:lineRule="auto"/>
        <w:ind w:left="0" w:hanging="567"/>
        <w:rPr>
          <w:rFonts w:cs="Arial"/>
        </w:rPr>
      </w:pPr>
      <w:r w:rsidRPr="009565B9">
        <w:rPr>
          <w:rFonts w:cs="Arial"/>
        </w:rPr>
        <w:t>Primary Care Psychological Therapies (adults)</w:t>
      </w:r>
    </w:p>
    <w:p w:rsidR="00CB1B29" w:rsidRPr="009565B9" w:rsidRDefault="009C0F42" w:rsidP="009565B9">
      <w:pPr>
        <w:spacing w:after="240" w:line="276" w:lineRule="auto"/>
        <w:ind w:left="-567" w:hanging="567"/>
        <w:rPr>
          <w:rFonts w:cs="Arial"/>
        </w:rPr>
      </w:pPr>
      <w:r>
        <w:rPr>
          <w:rFonts w:cs="Arial"/>
        </w:rPr>
        <w:t>2.4</w:t>
      </w:r>
      <w:r>
        <w:rPr>
          <w:rFonts w:cs="Arial"/>
        </w:rPr>
        <w:tab/>
      </w:r>
      <w:r w:rsidR="00CB1B29" w:rsidRPr="009565B9">
        <w:rPr>
          <w:rFonts w:cs="Arial"/>
        </w:rPr>
        <w:t xml:space="preserve">Volunteer </w:t>
      </w:r>
      <w:r w:rsidR="0082700C" w:rsidRPr="009565B9">
        <w:rPr>
          <w:rFonts w:cs="Arial"/>
        </w:rPr>
        <w:t xml:space="preserve">PCT </w:t>
      </w:r>
      <w:r w:rsidR="00CB1B29" w:rsidRPr="009565B9">
        <w:rPr>
          <w:rFonts w:cs="Arial"/>
        </w:rPr>
        <w:t xml:space="preserve">clusters </w:t>
      </w:r>
      <w:r w:rsidR="0082700C" w:rsidRPr="009565B9">
        <w:rPr>
          <w:rFonts w:cs="Arial"/>
        </w:rPr>
        <w:t xml:space="preserve">across the country </w:t>
      </w:r>
      <w:r w:rsidR="00CB1B29" w:rsidRPr="009565B9">
        <w:rPr>
          <w:rFonts w:cs="Arial"/>
        </w:rPr>
        <w:t>are being supported to develop implementation packs</w:t>
      </w:r>
      <w:r w:rsidR="004B77BF" w:rsidRPr="009565B9">
        <w:rPr>
          <w:rStyle w:val="FootnoteReference"/>
          <w:rFonts w:cs="Arial"/>
        </w:rPr>
        <w:footnoteReference w:id="1"/>
      </w:r>
      <w:r w:rsidR="00CB1B29" w:rsidRPr="009565B9">
        <w:rPr>
          <w:rFonts w:cs="Arial"/>
        </w:rPr>
        <w:t xml:space="preserve"> – including service specifications, contract currencies and tariffs – which will be available to all clusters by November 2011.  It should be noted that these packs are not intended to be mandated approaches for implementation (e.g. these will not be national tariffs), rather as useful suites of products for local adaptation. </w:t>
      </w:r>
      <w:r w:rsidR="0082700C" w:rsidRPr="009565B9">
        <w:rPr>
          <w:rFonts w:cs="Arial"/>
        </w:rPr>
        <w:t xml:space="preserve">NW London PCT Cluster is developing the pack for MSK, and </w:t>
      </w:r>
      <w:r>
        <w:rPr>
          <w:rFonts w:cs="Arial"/>
        </w:rPr>
        <w:t>ELC</w:t>
      </w:r>
      <w:r w:rsidR="0082700C" w:rsidRPr="009565B9">
        <w:rPr>
          <w:rFonts w:cs="Arial"/>
        </w:rPr>
        <w:t xml:space="preserve"> PCT Cluster is supporting the national work for children’s wheelchairs.</w:t>
      </w:r>
    </w:p>
    <w:p w:rsidR="00CB1B29" w:rsidRPr="009565B9" w:rsidRDefault="00CB1B29" w:rsidP="009565B9">
      <w:pPr>
        <w:spacing w:after="240" w:line="276" w:lineRule="auto"/>
        <w:ind w:left="-567" w:hanging="567"/>
        <w:rPr>
          <w:rFonts w:cs="Arial"/>
        </w:rPr>
      </w:pPr>
      <w:r w:rsidRPr="009565B9">
        <w:rPr>
          <w:rFonts w:cs="Arial"/>
        </w:rPr>
        <w:t>2.5</w:t>
      </w:r>
      <w:r w:rsidRPr="009565B9">
        <w:rPr>
          <w:rFonts w:cs="Arial"/>
        </w:rPr>
        <w:tab/>
        <w:t>All PCT clusters are to begin implementing choice of AQP for three of these services in April 2012 and for</w:t>
      </w:r>
      <w:r w:rsidR="0082700C" w:rsidRPr="009565B9">
        <w:rPr>
          <w:rFonts w:cs="Arial"/>
        </w:rPr>
        <w:t xml:space="preserve"> </w:t>
      </w:r>
      <w:r w:rsidRPr="009565B9">
        <w:rPr>
          <w:rFonts w:cs="Arial"/>
        </w:rPr>
        <w:t xml:space="preserve">all eight in 2013. The DH is content for PCT clusters to consider alternative services that are locally determined to benefit from extended choice; however these will not be supported by the tools and learning from the implementation packs. </w:t>
      </w:r>
    </w:p>
    <w:p w:rsidR="00782C45" w:rsidRPr="009565B9" w:rsidRDefault="00782C45" w:rsidP="009565B9">
      <w:pPr>
        <w:spacing w:after="240" w:line="276" w:lineRule="auto"/>
        <w:ind w:left="-567" w:hanging="567"/>
        <w:rPr>
          <w:rFonts w:cs="Arial"/>
        </w:rPr>
      </w:pPr>
      <w:r w:rsidRPr="009565B9">
        <w:rPr>
          <w:rFonts w:cs="Arial"/>
        </w:rPr>
        <w:t>2.6</w:t>
      </w:r>
      <w:r w:rsidRPr="009565B9">
        <w:rPr>
          <w:rFonts w:cs="Arial"/>
        </w:rPr>
        <w:tab/>
        <w:t>The DH guidance sets out that:</w:t>
      </w:r>
    </w:p>
    <w:p w:rsidR="00782C45" w:rsidRPr="009565B9" w:rsidRDefault="00782C45" w:rsidP="009565B9">
      <w:pPr>
        <w:spacing w:after="240" w:line="276" w:lineRule="auto"/>
        <w:ind w:left="-567" w:hanging="567"/>
        <w:rPr>
          <w:rFonts w:cs="Arial"/>
          <w:i/>
        </w:rPr>
      </w:pPr>
      <w:r w:rsidRPr="009565B9">
        <w:rPr>
          <w:rFonts w:cs="Arial"/>
        </w:rPr>
        <w:tab/>
        <w:t>“</w:t>
      </w:r>
      <w:r w:rsidRPr="009565B9">
        <w:rPr>
          <w:rFonts w:cs="Arial"/>
          <w:i/>
        </w:rPr>
        <w:t>SHAs…will oversee the development of patient choice of Any Qualified Provider by PCT clusters and clinical commissioning groups.</w:t>
      </w:r>
    </w:p>
    <w:p w:rsidR="00782C45" w:rsidRPr="009565B9" w:rsidRDefault="00782C45" w:rsidP="009565B9">
      <w:pPr>
        <w:spacing w:after="240" w:line="276" w:lineRule="auto"/>
        <w:ind w:left="-567" w:hanging="567"/>
        <w:rPr>
          <w:rFonts w:cs="Arial"/>
          <w:i/>
        </w:rPr>
      </w:pPr>
      <w:r w:rsidRPr="009565B9">
        <w:rPr>
          <w:rFonts w:cs="Arial"/>
          <w:i/>
        </w:rPr>
        <w:tab/>
        <w:t xml:space="preserve">Specifically, SHAs should coordinate the work of PCT clusters in their region to engage patients, professionals and providers.  SHAs must also assess of the suitability of alternative services to those on the national list where proposed by PCT clusters.” </w:t>
      </w:r>
    </w:p>
    <w:p w:rsidR="00CB1B29" w:rsidRPr="009565B9" w:rsidRDefault="00CB1B29" w:rsidP="009565B9">
      <w:pPr>
        <w:autoSpaceDE w:val="0"/>
        <w:autoSpaceDN w:val="0"/>
        <w:adjustRightInd w:val="0"/>
        <w:spacing w:after="240" w:line="276" w:lineRule="auto"/>
        <w:ind w:left="-567" w:hanging="567"/>
        <w:rPr>
          <w:rFonts w:eastAsiaTheme="minorHAnsi" w:cs="Arial"/>
          <w:b/>
          <w:color w:val="000000"/>
          <w:lang w:eastAsia="en-US"/>
        </w:rPr>
      </w:pPr>
      <w:r w:rsidRPr="009565B9">
        <w:rPr>
          <w:rFonts w:eastAsiaTheme="minorHAnsi" w:cs="Arial"/>
          <w:b/>
          <w:color w:val="000000"/>
          <w:lang w:eastAsia="en-US"/>
        </w:rPr>
        <w:t>3.</w:t>
      </w:r>
      <w:r w:rsidRPr="009565B9">
        <w:rPr>
          <w:rFonts w:eastAsiaTheme="minorHAnsi" w:cs="Arial"/>
          <w:b/>
          <w:color w:val="000000"/>
          <w:lang w:eastAsia="en-US"/>
        </w:rPr>
        <w:tab/>
        <w:t>London’s approach</w:t>
      </w:r>
    </w:p>
    <w:p w:rsidR="00CB1B29" w:rsidRPr="009565B9" w:rsidRDefault="00CB1B29" w:rsidP="009565B9">
      <w:pPr>
        <w:tabs>
          <w:tab w:val="left" w:pos="720"/>
        </w:tabs>
        <w:autoSpaceDE w:val="0"/>
        <w:autoSpaceDN w:val="0"/>
        <w:adjustRightInd w:val="0"/>
        <w:spacing w:after="240" w:line="276" w:lineRule="auto"/>
        <w:ind w:left="-567" w:hanging="567"/>
        <w:rPr>
          <w:rFonts w:eastAsiaTheme="minorHAnsi" w:cs="Arial"/>
          <w:lang w:eastAsia="en-US"/>
        </w:rPr>
      </w:pPr>
      <w:r w:rsidRPr="009565B9">
        <w:rPr>
          <w:rFonts w:eastAsiaTheme="minorHAnsi" w:cs="Arial"/>
          <w:lang w:eastAsia="en-US"/>
        </w:rPr>
        <w:t>3.1</w:t>
      </w:r>
      <w:r w:rsidRPr="009565B9">
        <w:rPr>
          <w:rFonts w:eastAsiaTheme="minorHAnsi" w:cs="Arial"/>
          <w:lang w:eastAsia="en-US"/>
        </w:rPr>
        <w:tab/>
        <w:t xml:space="preserve">Following discussion at the Strategy and Innovation PLG on 19 July and subsequent Cluster CEO meeting, the NHS in London </w:t>
      </w:r>
      <w:r w:rsidR="0082700C" w:rsidRPr="009565B9">
        <w:rPr>
          <w:rFonts w:eastAsiaTheme="minorHAnsi" w:cs="Arial"/>
          <w:lang w:eastAsia="en-US"/>
        </w:rPr>
        <w:t>has been</w:t>
      </w:r>
      <w:r w:rsidRPr="009565B9">
        <w:rPr>
          <w:rFonts w:eastAsiaTheme="minorHAnsi" w:cs="Arial"/>
          <w:lang w:eastAsia="en-US"/>
        </w:rPr>
        <w:t xml:space="preserve"> exploring whether there are benefits to implementing AQP over a larger geography than cluster-level. </w:t>
      </w:r>
    </w:p>
    <w:p w:rsidR="00CB1B29" w:rsidRPr="009565B9" w:rsidRDefault="00CB1B29" w:rsidP="009565B9">
      <w:pPr>
        <w:tabs>
          <w:tab w:val="left" w:pos="720"/>
        </w:tabs>
        <w:autoSpaceDE w:val="0"/>
        <w:autoSpaceDN w:val="0"/>
        <w:adjustRightInd w:val="0"/>
        <w:spacing w:after="240" w:line="276" w:lineRule="auto"/>
        <w:ind w:left="-567" w:hanging="567"/>
        <w:rPr>
          <w:rFonts w:eastAsiaTheme="minorHAnsi" w:cs="Arial"/>
          <w:lang w:eastAsia="en-US"/>
        </w:rPr>
      </w:pPr>
      <w:r w:rsidRPr="009565B9">
        <w:rPr>
          <w:rFonts w:eastAsiaTheme="minorHAnsi" w:cs="Arial"/>
          <w:lang w:eastAsia="en-US"/>
        </w:rPr>
        <w:t>3.2</w:t>
      </w:r>
      <w:r w:rsidRPr="009565B9">
        <w:rPr>
          <w:rFonts w:eastAsiaTheme="minorHAnsi" w:cs="Arial"/>
          <w:lang w:eastAsia="en-US"/>
        </w:rPr>
        <w:tab/>
        <w:t xml:space="preserve">For example, the provider and commissioner landscape might mean that a joint approach between more than one </w:t>
      </w:r>
      <w:r w:rsidR="00782C45" w:rsidRPr="009565B9">
        <w:rPr>
          <w:rFonts w:eastAsiaTheme="minorHAnsi" w:cs="Arial"/>
          <w:lang w:eastAsia="en-US"/>
        </w:rPr>
        <w:t>cluster</w:t>
      </w:r>
      <w:r w:rsidRPr="009565B9">
        <w:rPr>
          <w:rFonts w:eastAsiaTheme="minorHAnsi" w:cs="Arial"/>
          <w:lang w:eastAsia="en-US"/>
        </w:rPr>
        <w:t xml:space="preserve"> would make more sense than each one procuring three separate AQP service lines. This approach could pool expertise and resources and take best advantage of the pan-London provider market.</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3.3</w:t>
      </w:r>
      <w:r w:rsidRPr="009565B9">
        <w:rPr>
          <w:rFonts w:eastAsiaTheme="minorHAnsi" w:cs="Arial"/>
          <w:lang w:eastAsia="en-US"/>
        </w:rPr>
        <w:tab/>
        <w:t>The Cluster CEOs agreed that further benefit / risk assessment and planning work was needed before the decisions could be taken as to which services should become subject to AQP and whether a ‘multi-cluster’ approach would be best.</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3.4</w:t>
      </w:r>
      <w:r w:rsidRPr="009565B9">
        <w:rPr>
          <w:rFonts w:eastAsiaTheme="minorHAnsi" w:cs="Arial"/>
          <w:lang w:eastAsia="en-US"/>
        </w:rPr>
        <w:tab/>
        <w:t>Therefore, a ‘problem-solving group’ (the Group)</w:t>
      </w:r>
      <w:r w:rsidR="0082700C" w:rsidRPr="009565B9">
        <w:rPr>
          <w:rFonts w:eastAsiaTheme="minorHAnsi" w:cs="Arial"/>
          <w:lang w:eastAsia="en-US"/>
        </w:rPr>
        <w:t xml:space="preserve"> was</w:t>
      </w:r>
      <w:r w:rsidRPr="009565B9">
        <w:rPr>
          <w:rFonts w:eastAsiaTheme="minorHAnsi" w:cs="Arial"/>
          <w:lang w:eastAsia="en-US"/>
        </w:rPr>
        <w:t xml:space="preserve"> convened to take the discussion forward and make recommendations to cluster CEOs on how best to meet the DH’s requirements.  The Group </w:t>
      </w:r>
      <w:r w:rsidR="0082700C" w:rsidRPr="009565B9">
        <w:rPr>
          <w:rFonts w:eastAsiaTheme="minorHAnsi" w:cs="Arial"/>
          <w:lang w:eastAsia="en-US"/>
        </w:rPr>
        <w:t>has been</w:t>
      </w:r>
      <w:r w:rsidRPr="009565B9">
        <w:rPr>
          <w:rFonts w:eastAsiaTheme="minorHAnsi" w:cs="Arial"/>
          <w:lang w:eastAsia="en-US"/>
        </w:rPr>
        <w:t xml:space="preserve"> considering the following items:</w:t>
      </w:r>
    </w:p>
    <w:p w:rsidR="00CB1B29" w:rsidRPr="009565B9" w:rsidRDefault="00CB1B29" w:rsidP="009565B9">
      <w:pPr>
        <w:numPr>
          <w:ilvl w:val="0"/>
          <w:numId w:val="27"/>
        </w:numPr>
        <w:spacing w:after="200" w:line="276" w:lineRule="auto"/>
        <w:ind w:left="0" w:hanging="567"/>
        <w:rPr>
          <w:rFonts w:cs="Arial"/>
        </w:rPr>
      </w:pPr>
      <w:r w:rsidRPr="009565B9">
        <w:rPr>
          <w:rFonts w:cs="Arial"/>
        </w:rPr>
        <w:t>Risk assessment of the eight nationally listed AQP services for suitability for AQP on a cluster,  ‘multi-cluster’ or London-wide basis;</w:t>
      </w:r>
    </w:p>
    <w:p w:rsidR="00CB1B29" w:rsidRPr="009565B9" w:rsidRDefault="00CB1B29" w:rsidP="009565B9">
      <w:pPr>
        <w:numPr>
          <w:ilvl w:val="0"/>
          <w:numId w:val="27"/>
        </w:numPr>
        <w:spacing w:after="200" w:line="276" w:lineRule="auto"/>
        <w:ind w:left="0" w:hanging="567"/>
        <w:rPr>
          <w:rFonts w:cs="Arial"/>
        </w:rPr>
      </w:pPr>
      <w:r w:rsidRPr="009565B9">
        <w:rPr>
          <w:rFonts w:cs="Arial"/>
        </w:rPr>
        <w:t>Exploration of benefits of procuring AQP services for roll-out between April and September 2012 on a cluster, multi-cluster or pan-London basis;</w:t>
      </w:r>
    </w:p>
    <w:p w:rsidR="00CB1B29" w:rsidRPr="009565B9" w:rsidRDefault="00CB1B29" w:rsidP="009565B9">
      <w:pPr>
        <w:numPr>
          <w:ilvl w:val="0"/>
          <w:numId w:val="27"/>
        </w:numPr>
        <w:spacing w:after="200" w:line="276" w:lineRule="auto"/>
        <w:ind w:left="0" w:hanging="567"/>
        <w:rPr>
          <w:rFonts w:cs="Arial"/>
        </w:rPr>
      </w:pPr>
      <w:r w:rsidRPr="009565B9">
        <w:rPr>
          <w:rFonts w:cs="Arial"/>
        </w:rPr>
        <w:t>Which three services should be included in this first wave for each cluster (whether alone or with ‘partner’ clusters);</w:t>
      </w:r>
    </w:p>
    <w:p w:rsidR="00CB1B29" w:rsidRPr="009565B9" w:rsidRDefault="00CB1B29" w:rsidP="009565B9">
      <w:pPr>
        <w:numPr>
          <w:ilvl w:val="0"/>
          <w:numId w:val="27"/>
        </w:numPr>
        <w:spacing w:after="200" w:line="276" w:lineRule="auto"/>
        <w:ind w:left="0" w:hanging="567"/>
        <w:rPr>
          <w:rFonts w:cs="Arial"/>
        </w:rPr>
      </w:pPr>
      <w:r w:rsidRPr="009565B9">
        <w:rPr>
          <w:rFonts w:cs="Arial"/>
        </w:rPr>
        <w:t>Which clusters might lead on each element including procurement arrangements, if implementing across more than one cluster; and</w:t>
      </w:r>
    </w:p>
    <w:p w:rsidR="00CB1B29" w:rsidRPr="009565B9" w:rsidRDefault="00CB1B29" w:rsidP="009565B9">
      <w:pPr>
        <w:numPr>
          <w:ilvl w:val="0"/>
          <w:numId w:val="27"/>
        </w:numPr>
        <w:spacing w:after="240" w:line="276" w:lineRule="auto"/>
        <w:ind w:left="0" w:hanging="567"/>
        <w:rPr>
          <w:rFonts w:cs="Arial"/>
        </w:rPr>
      </w:pPr>
      <w:r w:rsidRPr="009565B9">
        <w:rPr>
          <w:rFonts w:cs="Arial"/>
        </w:rPr>
        <w:t>How best to engage with stakeholders on a joint approach.</w:t>
      </w:r>
    </w:p>
    <w:p w:rsidR="00CB1B29" w:rsidRPr="009565B9" w:rsidRDefault="00CB1B29" w:rsidP="009565B9">
      <w:pPr>
        <w:spacing w:after="240" w:line="276" w:lineRule="auto"/>
        <w:ind w:left="-567"/>
        <w:rPr>
          <w:rFonts w:eastAsiaTheme="minorHAnsi" w:cs="Arial"/>
          <w:lang w:eastAsia="en-US"/>
        </w:rPr>
      </w:pPr>
      <w:r w:rsidRPr="009565B9">
        <w:rPr>
          <w:rFonts w:eastAsiaTheme="minorHAnsi" w:cs="Arial"/>
          <w:lang w:eastAsia="en-US"/>
        </w:rPr>
        <w:t>The Group has representatives from all clusters, NHS London and a London provider of community services</w:t>
      </w:r>
      <w:r w:rsidR="0082700C" w:rsidRPr="009565B9">
        <w:rPr>
          <w:rFonts w:eastAsiaTheme="minorHAnsi" w:cs="Arial"/>
          <w:lang w:eastAsia="en-US"/>
        </w:rPr>
        <w:t xml:space="preserve"> to advise on provider issues</w:t>
      </w:r>
      <w:r w:rsidRPr="009565B9">
        <w:rPr>
          <w:rFonts w:eastAsiaTheme="minorHAnsi" w:cs="Arial"/>
          <w:lang w:eastAsia="en-US"/>
        </w:rPr>
        <w:t>.</w:t>
      </w:r>
    </w:p>
    <w:p w:rsidR="00CB1B29" w:rsidRPr="009565B9" w:rsidRDefault="00CB1B29" w:rsidP="009565B9">
      <w:pPr>
        <w:keepNext/>
        <w:keepLines/>
        <w:spacing w:after="240" w:line="276" w:lineRule="auto"/>
        <w:ind w:left="-567" w:hanging="567"/>
        <w:outlineLvl w:val="2"/>
        <w:rPr>
          <w:rFonts w:eastAsiaTheme="majorEastAsia" w:cs="Arial"/>
          <w:b/>
          <w:bCs/>
          <w:lang w:eastAsia="en-US"/>
        </w:rPr>
      </w:pPr>
      <w:r w:rsidRPr="009565B9">
        <w:rPr>
          <w:rFonts w:eastAsiaTheme="majorEastAsia" w:cs="Arial"/>
          <w:b/>
          <w:bCs/>
          <w:lang w:eastAsia="en-US"/>
        </w:rPr>
        <w:t>4.</w:t>
      </w:r>
      <w:r w:rsidRPr="009565B9">
        <w:rPr>
          <w:rFonts w:eastAsiaTheme="majorEastAsia" w:cs="Arial"/>
          <w:b/>
          <w:bCs/>
          <w:lang w:eastAsia="en-US"/>
        </w:rPr>
        <w:tab/>
        <w:t>Progress</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4.1</w:t>
      </w:r>
      <w:r w:rsidRPr="009565B9">
        <w:rPr>
          <w:rFonts w:eastAsiaTheme="minorHAnsi" w:cs="Arial"/>
          <w:lang w:eastAsia="en-US"/>
        </w:rPr>
        <w:tab/>
        <w:t>The Group has had weekly teleconferences throughout August</w:t>
      </w:r>
      <w:r w:rsidR="00E44274" w:rsidRPr="009565B9">
        <w:rPr>
          <w:rFonts w:eastAsiaTheme="minorHAnsi" w:cs="Arial"/>
          <w:lang w:eastAsia="en-US"/>
        </w:rPr>
        <w:t>, which are planned to continue through to October.</w:t>
      </w:r>
      <w:r w:rsidRPr="009565B9">
        <w:rPr>
          <w:rFonts w:eastAsiaTheme="minorHAnsi" w:cs="Arial"/>
          <w:lang w:eastAsia="en-US"/>
        </w:rPr>
        <w:t xml:space="preserve">  </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4.2</w:t>
      </w:r>
      <w:r w:rsidRPr="009565B9">
        <w:rPr>
          <w:rFonts w:eastAsiaTheme="minorHAnsi" w:cs="Arial"/>
          <w:lang w:eastAsia="en-US"/>
        </w:rPr>
        <w:tab/>
        <w:t xml:space="preserve">All clusters agreed to undertake a ‘stocktake’ of each of the eight service lines proposed by the DH as suitable for AQP.  Broadly, this involved examining the quality of current service provision and the method by which services are currently commissioned.  This </w:t>
      </w:r>
      <w:r w:rsidR="0082700C" w:rsidRPr="009565B9">
        <w:rPr>
          <w:rFonts w:eastAsiaTheme="minorHAnsi" w:cs="Arial"/>
          <w:lang w:eastAsia="en-US"/>
        </w:rPr>
        <w:t>is intended to</w:t>
      </w:r>
      <w:r w:rsidRPr="009565B9">
        <w:rPr>
          <w:rFonts w:eastAsiaTheme="minorHAnsi" w:cs="Arial"/>
          <w:lang w:eastAsia="en-US"/>
        </w:rPr>
        <w:t xml:space="preserve"> provide</w:t>
      </w:r>
      <w:r w:rsidR="0082700C" w:rsidRPr="009565B9">
        <w:rPr>
          <w:rFonts w:eastAsiaTheme="minorHAnsi" w:cs="Arial"/>
          <w:lang w:eastAsia="en-US"/>
        </w:rPr>
        <w:t xml:space="preserve"> </w:t>
      </w:r>
      <w:r w:rsidRPr="009565B9">
        <w:rPr>
          <w:rFonts w:eastAsiaTheme="minorHAnsi" w:cs="Arial"/>
          <w:lang w:eastAsia="en-US"/>
        </w:rPr>
        <w:t>an initial high-level view on local priorities of each service line by cluster, their feasibility for early AQP implementation in 2012 and any issues that will need to be addressed before all eight are rolled out in April 2013. They would also consider whether any alternative service lines, representing specific local priorities, might be suitable for an AQP approach.</w:t>
      </w:r>
      <w:r w:rsidR="0085260A">
        <w:rPr>
          <w:rFonts w:eastAsiaTheme="minorHAnsi" w:cs="Arial"/>
          <w:lang w:eastAsia="en-US"/>
        </w:rPr>
        <w:t xml:space="preserve"> </w:t>
      </w:r>
      <w:r w:rsidRPr="009565B9">
        <w:rPr>
          <w:rFonts w:eastAsiaTheme="minorHAnsi" w:cs="Arial"/>
          <w:lang w:eastAsia="en-US"/>
        </w:rPr>
        <w:t xml:space="preserve"> </w:t>
      </w:r>
      <w:r w:rsidR="0085260A" w:rsidRPr="009565B9">
        <w:rPr>
          <w:rFonts w:eastAsiaTheme="minorHAnsi" w:cs="Arial"/>
          <w:lang w:eastAsia="en-US"/>
        </w:rPr>
        <w:t xml:space="preserve">The results of this ‘stocktake’ will inform wider engagement during September as described in the following section.  </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4.3</w:t>
      </w:r>
      <w:r w:rsidRPr="009565B9">
        <w:rPr>
          <w:rFonts w:eastAsiaTheme="minorHAnsi" w:cs="Arial"/>
          <w:lang w:eastAsia="en-US"/>
        </w:rPr>
        <w:tab/>
        <w:t>The DH requires every cluster to have implemented AQP for 3 services, not necessarily across the whole of the cluster, and for every locality to have implemented at least one AQP service, ensuring there are “no AQP free zones”. Where there are intransigent issues in particular areas, this does not preclude other parts of the PCT cluster from implementing AQP for that service.</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4.4</w:t>
      </w:r>
      <w:r w:rsidRPr="009565B9">
        <w:rPr>
          <w:rFonts w:eastAsiaTheme="minorHAnsi" w:cs="Arial"/>
          <w:lang w:eastAsia="en-US"/>
        </w:rPr>
        <w:tab/>
      </w:r>
      <w:r w:rsidR="0085260A">
        <w:rPr>
          <w:rFonts w:eastAsiaTheme="minorHAnsi" w:cs="Arial"/>
          <w:lang w:eastAsia="en-US"/>
        </w:rPr>
        <w:t>On this basis, t</w:t>
      </w:r>
      <w:r w:rsidR="0085260A" w:rsidRPr="009565B9">
        <w:rPr>
          <w:rFonts w:eastAsiaTheme="minorHAnsi" w:cs="Arial"/>
          <w:lang w:eastAsia="en-US"/>
        </w:rPr>
        <w:t xml:space="preserve">here are early indications that AQP could be implemented in certain service lines </w:t>
      </w:r>
      <w:r w:rsidR="0085260A">
        <w:rPr>
          <w:rFonts w:eastAsiaTheme="minorHAnsi" w:cs="Arial"/>
          <w:lang w:eastAsia="en-US"/>
        </w:rPr>
        <w:t>over a geography greater than cluster-level</w:t>
      </w:r>
      <w:r w:rsidR="0085260A" w:rsidRPr="009565B9">
        <w:rPr>
          <w:rFonts w:eastAsiaTheme="minorHAnsi" w:cs="Arial"/>
          <w:lang w:eastAsia="en-US"/>
        </w:rPr>
        <w:t xml:space="preserve">. </w:t>
      </w:r>
      <w:r w:rsidR="0085260A">
        <w:rPr>
          <w:rFonts w:eastAsiaTheme="minorHAnsi" w:cs="Arial"/>
          <w:lang w:eastAsia="en-US"/>
        </w:rPr>
        <w:t xml:space="preserve"> However, t</w:t>
      </w:r>
      <w:r w:rsidRPr="009565B9">
        <w:rPr>
          <w:rFonts w:eastAsiaTheme="minorHAnsi" w:cs="Arial"/>
          <w:lang w:eastAsia="en-US"/>
        </w:rPr>
        <w:t>here are no clear service lines that all PCT clusters consider suitabl</w:t>
      </w:r>
      <w:r w:rsidR="007203AB" w:rsidRPr="009565B9">
        <w:rPr>
          <w:rFonts w:eastAsiaTheme="minorHAnsi" w:cs="Arial"/>
          <w:lang w:eastAsia="en-US"/>
        </w:rPr>
        <w:t>e for AQP</w:t>
      </w:r>
      <w:r w:rsidR="00CC7F79" w:rsidRPr="009565B9">
        <w:rPr>
          <w:rFonts w:eastAsiaTheme="minorHAnsi" w:cs="Arial"/>
          <w:lang w:eastAsia="en-US"/>
        </w:rPr>
        <w:t xml:space="preserve">. </w:t>
      </w:r>
      <w:r w:rsidR="0085260A">
        <w:rPr>
          <w:rFonts w:eastAsiaTheme="minorHAnsi" w:cs="Arial"/>
          <w:lang w:eastAsia="en-US"/>
        </w:rPr>
        <w:t xml:space="preserve"> </w:t>
      </w:r>
      <w:r w:rsidR="00CC7F79" w:rsidRPr="009565B9">
        <w:rPr>
          <w:rFonts w:eastAsiaTheme="minorHAnsi" w:cs="Arial"/>
          <w:lang w:eastAsia="en-US"/>
        </w:rPr>
        <w:t xml:space="preserve">Some clusters have given early indications that </w:t>
      </w:r>
      <w:r w:rsidRPr="009565B9">
        <w:rPr>
          <w:rFonts w:eastAsiaTheme="minorHAnsi" w:cs="Arial"/>
          <w:lang w:eastAsia="en-US"/>
        </w:rPr>
        <w:t>Community Adult Hearing, MSK and Children’s Wheelchair services</w:t>
      </w:r>
      <w:r w:rsidR="00CC7F79" w:rsidRPr="009565B9">
        <w:rPr>
          <w:rFonts w:eastAsiaTheme="minorHAnsi" w:cs="Arial"/>
          <w:lang w:eastAsia="en-US"/>
        </w:rPr>
        <w:t xml:space="preserve"> could be</w:t>
      </w:r>
      <w:r w:rsidR="0085260A">
        <w:rPr>
          <w:rFonts w:eastAsiaTheme="minorHAnsi" w:cs="Arial"/>
          <w:lang w:eastAsia="en-US"/>
        </w:rPr>
        <w:t xml:space="preserve"> potential candidates for AQP.  Consideration will be given as to</w:t>
      </w:r>
      <w:r w:rsidRPr="009565B9">
        <w:rPr>
          <w:rFonts w:eastAsiaTheme="minorHAnsi" w:cs="Arial"/>
          <w:lang w:eastAsia="en-US"/>
        </w:rPr>
        <w:t xml:space="preserve"> how to implement these services on a </w:t>
      </w:r>
      <w:r w:rsidR="00CC7F79" w:rsidRPr="009565B9">
        <w:rPr>
          <w:rFonts w:eastAsiaTheme="minorHAnsi" w:cs="Arial"/>
          <w:lang w:eastAsia="en-US"/>
        </w:rPr>
        <w:t xml:space="preserve">collaborative </w:t>
      </w:r>
      <w:r w:rsidRPr="009565B9">
        <w:rPr>
          <w:rFonts w:eastAsiaTheme="minorHAnsi" w:cs="Arial"/>
          <w:lang w:eastAsia="en-US"/>
        </w:rPr>
        <w:t xml:space="preserve">cluster </w:t>
      </w:r>
      <w:r w:rsidR="00CC7F79" w:rsidRPr="009565B9">
        <w:rPr>
          <w:rFonts w:eastAsiaTheme="minorHAnsi" w:cs="Arial"/>
          <w:lang w:eastAsia="en-US"/>
        </w:rPr>
        <w:t>basis</w:t>
      </w:r>
      <w:r w:rsidRPr="009565B9">
        <w:rPr>
          <w:rFonts w:eastAsiaTheme="minorHAnsi" w:cs="Arial"/>
          <w:lang w:eastAsia="en-US"/>
        </w:rPr>
        <w:t xml:space="preserve"> to ensure there is </w:t>
      </w:r>
      <w:r w:rsidR="0085260A">
        <w:rPr>
          <w:rFonts w:eastAsiaTheme="minorHAnsi" w:cs="Arial"/>
          <w:lang w:eastAsia="en-US"/>
        </w:rPr>
        <w:t xml:space="preserve">a </w:t>
      </w:r>
      <w:r w:rsidRPr="009565B9">
        <w:rPr>
          <w:rFonts w:eastAsiaTheme="minorHAnsi" w:cs="Arial"/>
          <w:lang w:eastAsia="en-US"/>
        </w:rPr>
        <w:t xml:space="preserve">sufficiently robust provider market, benefits of economies of scale </w:t>
      </w:r>
      <w:r w:rsidR="0085260A">
        <w:rPr>
          <w:rFonts w:eastAsiaTheme="minorHAnsi" w:cs="Arial"/>
          <w:lang w:eastAsia="en-US"/>
        </w:rPr>
        <w:t xml:space="preserve">are captured </w:t>
      </w:r>
      <w:r w:rsidRPr="009565B9">
        <w:rPr>
          <w:rFonts w:eastAsiaTheme="minorHAnsi" w:cs="Arial"/>
          <w:lang w:eastAsia="en-US"/>
        </w:rPr>
        <w:t xml:space="preserve">and </w:t>
      </w:r>
      <w:r w:rsidR="0085260A">
        <w:rPr>
          <w:rFonts w:eastAsiaTheme="minorHAnsi" w:cs="Arial"/>
          <w:lang w:eastAsia="en-US"/>
        </w:rPr>
        <w:t xml:space="preserve">to </w:t>
      </w:r>
      <w:r w:rsidRPr="009565B9">
        <w:rPr>
          <w:rFonts w:eastAsiaTheme="minorHAnsi" w:cs="Arial"/>
          <w:lang w:eastAsia="en-US"/>
        </w:rPr>
        <w:t xml:space="preserve">avoid a </w:t>
      </w:r>
      <w:r w:rsidR="007203AB" w:rsidRPr="009565B9">
        <w:rPr>
          <w:rFonts w:eastAsiaTheme="minorHAnsi" w:cs="Arial"/>
          <w:lang w:eastAsia="en-US"/>
        </w:rPr>
        <w:t>‘</w:t>
      </w:r>
      <w:r w:rsidRPr="009565B9">
        <w:rPr>
          <w:rFonts w:eastAsiaTheme="minorHAnsi" w:cs="Arial"/>
          <w:lang w:eastAsia="en-US"/>
        </w:rPr>
        <w:t>postcode lottery</w:t>
      </w:r>
      <w:r w:rsidR="007203AB" w:rsidRPr="009565B9">
        <w:rPr>
          <w:rFonts w:eastAsiaTheme="minorHAnsi" w:cs="Arial"/>
          <w:lang w:eastAsia="en-US"/>
        </w:rPr>
        <w:t>’</w:t>
      </w:r>
      <w:r w:rsidRPr="009565B9">
        <w:rPr>
          <w:rFonts w:eastAsiaTheme="minorHAnsi" w:cs="Arial"/>
          <w:lang w:eastAsia="en-US"/>
        </w:rPr>
        <w:t xml:space="preserve">. </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4.5</w:t>
      </w:r>
      <w:r w:rsidRPr="009565B9">
        <w:rPr>
          <w:rFonts w:eastAsiaTheme="minorHAnsi" w:cs="Arial"/>
          <w:lang w:eastAsia="en-US"/>
        </w:rPr>
        <w:tab/>
        <w:t>In addition to some agreement on AQP suitable services, there are a n</w:t>
      </w:r>
      <w:r w:rsidR="007203AB" w:rsidRPr="009565B9">
        <w:rPr>
          <w:rFonts w:eastAsiaTheme="minorHAnsi" w:cs="Arial"/>
          <w:lang w:eastAsia="en-US"/>
        </w:rPr>
        <w:t>umber of emerging themes including</w:t>
      </w:r>
      <w:r w:rsidRPr="009565B9">
        <w:rPr>
          <w:rFonts w:eastAsiaTheme="minorHAnsi" w:cs="Arial"/>
          <w:lang w:eastAsia="en-US"/>
        </w:rPr>
        <w:t>:</w:t>
      </w:r>
    </w:p>
    <w:p w:rsidR="00CB1B29" w:rsidRPr="009565B9" w:rsidRDefault="00CB1B29" w:rsidP="009565B9">
      <w:pPr>
        <w:spacing w:after="240" w:line="276" w:lineRule="auto"/>
        <w:ind w:left="-567"/>
        <w:rPr>
          <w:rFonts w:eastAsiaTheme="minorHAnsi" w:cs="Arial"/>
          <w:lang w:eastAsia="en-US"/>
        </w:rPr>
      </w:pPr>
      <w:r w:rsidRPr="009565B9">
        <w:rPr>
          <w:rFonts w:eastAsiaTheme="minorHAnsi" w:cs="Arial"/>
          <w:i/>
          <w:lang w:eastAsia="en-US"/>
        </w:rPr>
        <w:t>Contractual / legal issues</w:t>
      </w:r>
      <w:r w:rsidRPr="009565B9">
        <w:rPr>
          <w:rFonts w:eastAsiaTheme="minorHAnsi" w:cs="Arial"/>
          <w:lang w:eastAsia="en-US"/>
        </w:rPr>
        <w:t xml:space="preserve"> – a number of these services are provided within block contracts with community providers or are subject to terms and conditions agreed in Business Transfer Agreements</w:t>
      </w:r>
      <w:r w:rsidRPr="009565B9">
        <w:rPr>
          <w:rFonts w:eastAsiaTheme="minorHAnsi" w:cs="Arial"/>
          <w:color w:val="FF0000"/>
          <w:lang w:eastAsia="en-US"/>
        </w:rPr>
        <w:t xml:space="preserve"> </w:t>
      </w:r>
      <w:r w:rsidRPr="009565B9">
        <w:rPr>
          <w:rFonts w:eastAsiaTheme="minorHAnsi" w:cs="Arial"/>
          <w:lang w:eastAsia="en-US"/>
        </w:rPr>
        <w:t xml:space="preserve">that were negotiated as part of the Transforming Community Services agenda.  DH </w:t>
      </w:r>
      <w:r w:rsidR="0082700C" w:rsidRPr="009565B9">
        <w:rPr>
          <w:rFonts w:eastAsiaTheme="minorHAnsi" w:cs="Arial"/>
          <w:lang w:eastAsia="en-US"/>
        </w:rPr>
        <w:t>is planning to issue</w:t>
      </w:r>
      <w:r w:rsidRPr="009565B9">
        <w:rPr>
          <w:rFonts w:eastAsiaTheme="minorHAnsi" w:cs="Arial"/>
          <w:lang w:eastAsia="en-US"/>
        </w:rPr>
        <w:t xml:space="preserve"> some guidance regarding variation / termination of contracts and informal discussions have indicated this should not be an issue of itself. Therefore, clusters have focussed on whether services could benefit from AQP, in terms of quality and access, and will consider contractual issues only </w:t>
      </w:r>
      <w:r w:rsidR="0082700C" w:rsidRPr="009565B9">
        <w:rPr>
          <w:rFonts w:eastAsiaTheme="minorHAnsi" w:cs="Arial"/>
          <w:lang w:eastAsia="en-US"/>
        </w:rPr>
        <w:t>as</w:t>
      </w:r>
      <w:r w:rsidRPr="009565B9">
        <w:rPr>
          <w:rFonts w:eastAsiaTheme="minorHAnsi" w:cs="Arial"/>
          <w:lang w:eastAsia="en-US"/>
        </w:rPr>
        <w:t xml:space="preserve"> necessary</w:t>
      </w:r>
      <w:r w:rsidR="00706199" w:rsidRPr="009565B9">
        <w:rPr>
          <w:rFonts w:eastAsiaTheme="minorHAnsi" w:cs="Arial"/>
          <w:lang w:eastAsia="en-US"/>
        </w:rPr>
        <w:t>.</w:t>
      </w:r>
      <w:r w:rsidRPr="009565B9">
        <w:rPr>
          <w:rFonts w:eastAsiaTheme="minorHAnsi" w:cs="Arial"/>
          <w:lang w:eastAsia="en-US"/>
        </w:rPr>
        <w:t xml:space="preserve"> </w:t>
      </w:r>
      <w:r w:rsidR="00706199" w:rsidRPr="009565B9">
        <w:rPr>
          <w:rFonts w:eastAsiaTheme="minorHAnsi" w:cs="Arial"/>
          <w:lang w:eastAsia="en-US"/>
        </w:rPr>
        <w:t xml:space="preserve">For example, </w:t>
      </w:r>
      <w:r w:rsidR="00FF51FF" w:rsidRPr="009565B9">
        <w:rPr>
          <w:rFonts w:eastAsiaTheme="minorHAnsi" w:cs="Arial"/>
          <w:lang w:eastAsia="en-US"/>
        </w:rPr>
        <w:t>contractual issues</w:t>
      </w:r>
      <w:r w:rsidRPr="009565B9">
        <w:rPr>
          <w:rFonts w:eastAsiaTheme="minorHAnsi" w:cs="Arial"/>
          <w:lang w:eastAsia="en-US"/>
        </w:rPr>
        <w:t xml:space="preserve"> with FTs</w:t>
      </w:r>
      <w:r w:rsidR="00FF51FF" w:rsidRPr="009565B9">
        <w:rPr>
          <w:rFonts w:eastAsiaTheme="minorHAnsi" w:cs="Arial"/>
          <w:lang w:eastAsia="en-US"/>
        </w:rPr>
        <w:t>,</w:t>
      </w:r>
      <w:r w:rsidR="00706199" w:rsidRPr="009565B9">
        <w:rPr>
          <w:rFonts w:eastAsiaTheme="minorHAnsi" w:cs="Arial"/>
          <w:lang w:eastAsia="en-US"/>
        </w:rPr>
        <w:t xml:space="preserve"> or where services have been competitively tendered </w:t>
      </w:r>
      <w:r w:rsidR="0088121E" w:rsidRPr="009565B9">
        <w:rPr>
          <w:rFonts w:eastAsiaTheme="minorHAnsi" w:cs="Arial"/>
          <w:lang w:eastAsia="en-US"/>
        </w:rPr>
        <w:t>outside the NHS with guaranteed volumes</w:t>
      </w:r>
      <w:r w:rsidRPr="009565B9">
        <w:rPr>
          <w:rFonts w:eastAsiaTheme="minorHAnsi" w:cs="Arial"/>
          <w:lang w:eastAsia="en-US"/>
        </w:rPr>
        <w:t>, will be identified</w:t>
      </w:r>
      <w:r w:rsidR="00FF51FF" w:rsidRPr="009565B9">
        <w:rPr>
          <w:rFonts w:eastAsiaTheme="minorHAnsi" w:cs="Arial"/>
          <w:lang w:eastAsia="en-US"/>
        </w:rPr>
        <w:t xml:space="preserve"> and considered for suitability for early AQP</w:t>
      </w:r>
      <w:r w:rsidRPr="009565B9">
        <w:rPr>
          <w:rFonts w:eastAsiaTheme="minorHAnsi" w:cs="Arial"/>
          <w:lang w:eastAsia="en-US"/>
        </w:rPr>
        <w:t>.</w:t>
      </w:r>
    </w:p>
    <w:p w:rsidR="00CB1B29" w:rsidRPr="009565B9" w:rsidRDefault="00CB1B29" w:rsidP="009565B9">
      <w:pPr>
        <w:spacing w:after="240" w:line="276" w:lineRule="auto"/>
        <w:ind w:left="-567"/>
        <w:rPr>
          <w:rFonts w:eastAsiaTheme="minorHAnsi" w:cs="Arial"/>
          <w:lang w:eastAsia="en-US"/>
        </w:rPr>
      </w:pPr>
      <w:r w:rsidRPr="009565B9">
        <w:rPr>
          <w:rFonts w:eastAsiaTheme="minorHAnsi" w:cs="Arial"/>
          <w:i/>
          <w:lang w:eastAsia="en-US"/>
        </w:rPr>
        <w:t>Fragmenting care pathways</w:t>
      </w:r>
      <w:r w:rsidRPr="009565B9">
        <w:rPr>
          <w:rFonts w:eastAsiaTheme="minorHAnsi" w:cs="Arial"/>
          <w:lang w:eastAsia="en-US"/>
        </w:rPr>
        <w:t xml:space="preserve"> – some concerns have been raised that applying AQP to some of the identified services risk fragmenting pathways.  For example, podiatry services often form part the diabetes pathway.  However, there are opportunities for implementing AQP to discrete parts of the service identified or to discrete populations, for example podiatry for adults without complications, rather than all services under the heading.  Therefore, while pathways should be maintained</w:t>
      </w:r>
      <w:r w:rsidR="00FF51FF" w:rsidRPr="009565B9">
        <w:rPr>
          <w:rFonts w:eastAsiaTheme="minorHAnsi" w:cs="Arial"/>
          <w:lang w:eastAsia="en-US"/>
        </w:rPr>
        <w:t xml:space="preserve"> </w:t>
      </w:r>
      <w:r w:rsidRPr="009565B9">
        <w:rPr>
          <w:rFonts w:eastAsiaTheme="minorHAnsi" w:cs="Arial"/>
          <w:lang w:eastAsia="en-US"/>
        </w:rPr>
        <w:t>where appropriate, this should not mean all elements of the service should be excluded from AQP.</w:t>
      </w:r>
    </w:p>
    <w:p w:rsidR="00CB1B29" w:rsidRPr="009565B9" w:rsidRDefault="00CB1B29" w:rsidP="009565B9">
      <w:pPr>
        <w:spacing w:after="240" w:line="276" w:lineRule="auto"/>
        <w:ind w:left="-567"/>
        <w:rPr>
          <w:rFonts w:eastAsiaTheme="minorHAnsi" w:cs="Arial"/>
          <w:lang w:eastAsia="en-US"/>
        </w:rPr>
      </w:pPr>
      <w:r w:rsidRPr="009565B9">
        <w:rPr>
          <w:rFonts w:eastAsiaTheme="minorHAnsi" w:cs="Arial"/>
          <w:i/>
          <w:lang w:eastAsia="en-US"/>
        </w:rPr>
        <w:t>Destabilising existing providers</w:t>
      </w:r>
      <w:r w:rsidRPr="009565B9">
        <w:rPr>
          <w:rFonts w:eastAsiaTheme="minorHAnsi" w:cs="Arial"/>
          <w:lang w:eastAsia="en-US"/>
        </w:rPr>
        <w:t xml:space="preserve"> –consideration should be given to</w:t>
      </w:r>
      <w:r w:rsidR="0088121E" w:rsidRPr="009565B9">
        <w:rPr>
          <w:rFonts w:eastAsiaTheme="minorHAnsi" w:cs="Arial"/>
          <w:lang w:eastAsia="en-US"/>
        </w:rPr>
        <w:t>, and dialogue held with,</w:t>
      </w:r>
      <w:r w:rsidRPr="009565B9">
        <w:rPr>
          <w:rFonts w:eastAsiaTheme="minorHAnsi" w:cs="Arial"/>
          <w:lang w:eastAsia="en-US"/>
        </w:rPr>
        <w:t xml:space="preserve"> current providers </w:t>
      </w:r>
      <w:r w:rsidR="0088121E" w:rsidRPr="009565B9">
        <w:rPr>
          <w:rFonts w:eastAsiaTheme="minorHAnsi" w:cs="Arial"/>
          <w:lang w:eastAsia="en-US"/>
        </w:rPr>
        <w:t xml:space="preserve">to identify </w:t>
      </w:r>
      <w:r w:rsidRPr="009565B9">
        <w:rPr>
          <w:rFonts w:eastAsiaTheme="minorHAnsi" w:cs="Arial"/>
          <w:lang w:eastAsia="en-US"/>
        </w:rPr>
        <w:t xml:space="preserve">the financial risk to them of </w:t>
      </w:r>
      <w:r w:rsidR="001A47A6" w:rsidRPr="009565B9">
        <w:rPr>
          <w:rFonts w:eastAsiaTheme="minorHAnsi" w:cs="Arial"/>
          <w:lang w:eastAsia="en-US"/>
        </w:rPr>
        <w:t xml:space="preserve">potentially </w:t>
      </w:r>
      <w:r w:rsidRPr="009565B9">
        <w:rPr>
          <w:rFonts w:eastAsiaTheme="minorHAnsi" w:cs="Arial"/>
          <w:lang w:eastAsia="en-US"/>
        </w:rPr>
        <w:t>removing part of their contract</w:t>
      </w:r>
      <w:r w:rsidRPr="009565B9">
        <w:rPr>
          <w:rFonts w:eastAsiaTheme="minorHAnsi" w:cs="Arial"/>
          <w:color w:val="FF0000"/>
          <w:lang w:eastAsia="en-US"/>
        </w:rPr>
        <w:t xml:space="preserve">. </w:t>
      </w:r>
      <w:r w:rsidRPr="009565B9">
        <w:rPr>
          <w:rFonts w:eastAsiaTheme="minorHAnsi" w:cs="Arial"/>
          <w:lang w:eastAsia="en-US"/>
        </w:rPr>
        <w:t xml:space="preserve"> Detailed analysis </w:t>
      </w:r>
      <w:r w:rsidR="0088121E" w:rsidRPr="009565B9">
        <w:rPr>
          <w:rFonts w:eastAsiaTheme="minorHAnsi" w:cs="Arial"/>
          <w:lang w:eastAsia="en-US"/>
        </w:rPr>
        <w:t xml:space="preserve">will </w:t>
      </w:r>
      <w:r w:rsidRPr="009565B9">
        <w:rPr>
          <w:rFonts w:eastAsiaTheme="minorHAnsi" w:cs="Arial"/>
          <w:lang w:eastAsia="en-US"/>
        </w:rPr>
        <w:t xml:space="preserve">need to be undertaken, however, the services are likely to be fairly small in terms of value; </w:t>
      </w:r>
      <w:r w:rsidR="007203AB" w:rsidRPr="009565B9">
        <w:rPr>
          <w:rFonts w:eastAsiaTheme="minorHAnsi" w:cs="Arial"/>
          <w:lang w:eastAsia="en-US"/>
        </w:rPr>
        <w:t xml:space="preserve">and </w:t>
      </w:r>
      <w:r w:rsidRPr="009565B9">
        <w:rPr>
          <w:rFonts w:eastAsiaTheme="minorHAnsi" w:cs="Arial"/>
          <w:lang w:eastAsia="en-US"/>
        </w:rPr>
        <w:t>the current provider</w:t>
      </w:r>
      <w:r w:rsidR="00FF51FF" w:rsidRPr="009565B9">
        <w:rPr>
          <w:rFonts w:eastAsiaTheme="minorHAnsi" w:cs="Arial"/>
          <w:lang w:eastAsia="en-US"/>
        </w:rPr>
        <w:t xml:space="preserve"> </w:t>
      </w:r>
      <w:r w:rsidRPr="009565B9">
        <w:rPr>
          <w:rFonts w:eastAsiaTheme="minorHAnsi" w:cs="Arial"/>
          <w:lang w:eastAsia="en-US"/>
        </w:rPr>
        <w:t xml:space="preserve">could be </w:t>
      </w:r>
      <w:r w:rsidR="00FF51FF" w:rsidRPr="009565B9">
        <w:rPr>
          <w:rFonts w:eastAsiaTheme="minorHAnsi" w:cs="Arial"/>
          <w:lang w:eastAsia="en-US"/>
        </w:rPr>
        <w:t xml:space="preserve">designated as </w:t>
      </w:r>
      <w:r w:rsidRPr="009565B9">
        <w:rPr>
          <w:rFonts w:eastAsiaTheme="minorHAnsi" w:cs="Arial"/>
          <w:lang w:eastAsia="en-US"/>
        </w:rPr>
        <w:t>an AQP for the service, if it met the quality and other standards.</w:t>
      </w:r>
      <w:r w:rsidR="007D338E" w:rsidRPr="009565B9">
        <w:rPr>
          <w:rFonts w:eastAsiaTheme="minorHAnsi" w:cs="Arial"/>
          <w:lang w:eastAsia="en-US"/>
        </w:rPr>
        <w:t xml:space="preserve">  Any impact should be reflected </w:t>
      </w:r>
      <w:r w:rsidR="00220734" w:rsidRPr="009565B9">
        <w:rPr>
          <w:rFonts w:eastAsiaTheme="minorHAnsi" w:cs="Arial"/>
          <w:lang w:eastAsia="en-US"/>
        </w:rPr>
        <w:t xml:space="preserve">in </w:t>
      </w:r>
      <w:r w:rsidR="007D338E" w:rsidRPr="009565B9">
        <w:rPr>
          <w:rFonts w:eastAsiaTheme="minorHAnsi" w:cs="Arial"/>
          <w:lang w:eastAsia="en-US"/>
        </w:rPr>
        <w:t xml:space="preserve">commissioning intentions and provider plans for 2012/13. </w:t>
      </w:r>
    </w:p>
    <w:p w:rsidR="00CB1B29" w:rsidRPr="009565B9" w:rsidRDefault="00CB1B29" w:rsidP="009565B9">
      <w:pPr>
        <w:spacing w:after="240" w:line="276" w:lineRule="auto"/>
        <w:ind w:left="-567"/>
        <w:rPr>
          <w:rFonts w:eastAsiaTheme="minorHAnsi" w:cs="Arial"/>
          <w:lang w:eastAsia="en-US"/>
        </w:rPr>
      </w:pPr>
      <w:r w:rsidRPr="009565B9">
        <w:rPr>
          <w:rFonts w:eastAsiaTheme="minorHAnsi" w:cs="Arial"/>
          <w:i/>
          <w:lang w:eastAsia="en-US"/>
        </w:rPr>
        <w:t>Identifying ‘local’ priorities</w:t>
      </w:r>
      <w:r w:rsidRPr="009565B9">
        <w:rPr>
          <w:rFonts w:eastAsiaTheme="minorHAnsi" w:cs="Arial"/>
          <w:lang w:eastAsia="en-US"/>
        </w:rPr>
        <w:t xml:space="preserve"> – the DH guidance has been widely distributed with the clear message that priorities for AQP should be identified locally.  This could create a tension in agreeing the priorities at a cluster-level, as per the guidance, let alone over a larger geography.  The benefits of implementation at scale – in terms of making best use of scare resource and stimulating an attractive provider marker – will need to be balanced with local prioritisation.  Additionally, consideration should be given to the ‘implementation packs’ that are currently being developed for each of the services identified by DH.  Should it be decided to implement AQP </w:t>
      </w:r>
      <w:r w:rsidR="00FF51FF" w:rsidRPr="009565B9">
        <w:rPr>
          <w:rFonts w:eastAsiaTheme="minorHAnsi" w:cs="Arial"/>
          <w:lang w:eastAsia="en-US"/>
        </w:rPr>
        <w:t>for</w:t>
      </w:r>
      <w:r w:rsidRPr="009565B9">
        <w:rPr>
          <w:rFonts w:eastAsiaTheme="minorHAnsi" w:cs="Arial"/>
          <w:lang w:eastAsia="en-US"/>
        </w:rPr>
        <w:t xml:space="preserve"> a</w:t>
      </w:r>
      <w:r w:rsidR="00FF51FF" w:rsidRPr="009565B9">
        <w:rPr>
          <w:rFonts w:eastAsiaTheme="minorHAnsi" w:cs="Arial"/>
          <w:lang w:eastAsia="en-US"/>
        </w:rPr>
        <w:t xml:space="preserve"> different</w:t>
      </w:r>
      <w:r w:rsidRPr="009565B9">
        <w:rPr>
          <w:rFonts w:eastAsiaTheme="minorHAnsi" w:cs="Arial"/>
          <w:lang w:eastAsia="en-US"/>
        </w:rPr>
        <w:t xml:space="preserve"> service, then the work </w:t>
      </w:r>
      <w:r w:rsidR="00FF51FF" w:rsidRPr="009565B9">
        <w:rPr>
          <w:rFonts w:eastAsiaTheme="minorHAnsi" w:cs="Arial"/>
          <w:lang w:eastAsia="en-US"/>
        </w:rPr>
        <w:t>to implement would need to be resourced, possibly from scratch, locally.</w:t>
      </w:r>
    </w:p>
    <w:p w:rsidR="00CB1B29" w:rsidRPr="009565B9" w:rsidRDefault="00CB1B29" w:rsidP="009565B9">
      <w:pPr>
        <w:spacing w:after="240" w:line="276" w:lineRule="auto"/>
        <w:ind w:left="-567"/>
        <w:rPr>
          <w:rFonts w:eastAsiaTheme="minorHAnsi" w:cs="Arial"/>
          <w:lang w:eastAsia="en-US"/>
        </w:rPr>
      </w:pPr>
      <w:r w:rsidRPr="009565B9">
        <w:rPr>
          <w:rFonts w:eastAsiaTheme="minorHAnsi" w:cs="Arial"/>
          <w:i/>
          <w:lang w:eastAsia="en-US"/>
        </w:rPr>
        <w:t>Meaningful engagement</w:t>
      </w:r>
      <w:r w:rsidRPr="009565B9">
        <w:rPr>
          <w:rFonts w:eastAsiaTheme="minorHAnsi" w:cs="Arial"/>
          <w:lang w:eastAsia="en-US"/>
        </w:rPr>
        <w:t xml:space="preserve"> – early </w:t>
      </w:r>
      <w:r w:rsidR="0085260A">
        <w:rPr>
          <w:rFonts w:eastAsiaTheme="minorHAnsi" w:cs="Arial"/>
          <w:lang w:eastAsia="en-US"/>
        </w:rPr>
        <w:t>dialogue</w:t>
      </w:r>
      <w:r w:rsidRPr="009565B9">
        <w:rPr>
          <w:rFonts w:eastAsiaTheme="minorHAnsi" w:cs="Arial"/>
          <w:lang w:eastAsia="en-US"/>
        </w:rPr>
        <w:t xml:space="preserve"> with some stakeholders has raised concerns that engagement in short timescale</w:t>
      </w:r>
      <w:r w:rsidR="00FF51FF" w:rsidRPr="009565B9">
        <w:rPr>
          <w:rFonts w:eastAsiaTheme="minorHAnsi" w:cs="Arial"/>
          <w:lang w:eastAsia="en-US"/>
        </w:rPr>
        <w:t>s</w:t>
      </w:r>
      <w:r w:rsidR="0085260A" w:rsidRPr="009565B9">
        <w:rPr>
          <w:rFonts w:eastAsiaTheme="minorHAnsi" w:cs="Arial"/>
          <w:lang w:eastAsia="en-US"/>
        </w:rPr>
        <w:t>, may</w:t>
      </w:r>
      <w:r w:rsidRPr="009565B9">
        <w:rPr>
          <w:rFonts w:eastAsiaTheme="minorHAnsi" w:cs="Arial"/>
          <w:lang w:eastAsia="en-US"/>
        </w:rPr>
        <w:t xml:space="preserve"> not be perceived as meaningful.  In light of the expectation that all eight services will be open to AQP by 2013/14, some have suggested stakeholder engagement would be better focussed on developing the service specifications, setting expectations of providers, etc, rather than on identifying priorities for implementation. </w:t>
      </w:r>
      <w:r w:rsidR="0085260A">
        <w:rPr>
          <w:rFonts w:eastAsiaTheme="minorHAnsi" w:cs="Arial"/>
          <w:lang w:eastAsia="en-US"/>
        </w:rPr>
        <w:t xml:space="preserve"> However, c</w:t>
      </w:r>
      <w:r w:rsidRPr="009565B9">
        <w:rPr>
          <w:rFonts w:eastAsiaTheme="minorHAnsi" w:cs="Arial"/>
          <w:lang w:eastAsia="en-US"/>
        </w:rPr>
        <w:t xml:space="preserve">lusters, with their pathfinders, are all planning to undertake </w:t>
      </w:r>
      <w:r w:rsidR="00FF51FF" w:rsidRPr="009565B9">
        <w:rPr>
          <w:rFonts w:eastAsiaTheme="minorHAnsi" w:cs="Arial"/>
          <w:lang w:eastAsia="en-US"/>
        </w:rPr>
        <w:t xml:space="preserve">some </w:t>
      </w:r>
      <w:r w:rsidRPr="009565B9">
        <w:rPr>
          <w:rFonts w:eastAsiaTheme="minorHAnsi" w:cs="Arial"/>
          <w:lang w:eastAsia="en-US"/>
        </w:rPr>
        <w:t>engagement</w:t>
      </w:r>
      <w:r w:rsidR="0085260A">
        <w:rPr>
          <w:rFonts w:eastAsiaTheme="minorHAnsi" w:cs="Arial"/>
          <w:lang w:eastAsia="en-US"/>
        </w:rPr>
        <w:t xml:space="preserve"> as described in the following section</w:t>
      </w:r>
      <w:r w:rsidRPr="009565B9">
        <w:rPr>
          <w:rFonts w:eastAsiaTheme="minorHAnsi" w:cs="Arial"/>
          <w:lang w:eastAsia="en-US"/>
        </w:rPr>
        <w:t>.</w:t>
      </w:r>
    </w:p>
    <w:p w:rsidR="00961086" w:rsidRPr="009565B9" w:rsidRDefault="008754CE" w:rsidP="009565B9">
      <w:pPr>
        <w:spacing w:after="240" w:line="276" w:lineRule="auto"/>
        <w:ind w:left="-567"/>
        <w:rPr>
          <w:rFonts w:eastAsiaTheme="minorHAnsi" w:cs="Arial"/>
          <w:lang w:eastAsia="en-US"/>
        </w:rPr>
      </w:pPr>
      <w:r w:rsidRPr="009565B9">
        <w:rPr>
          <w:rFonts w:eastAsiaTheme="minorHAnsi" w:cs="Arial"/>
          <w:i/>
          <w:lang w:eastAsia="en-US"/>
        </w:rPr>
        <w:t>Supply and d</w:t>
      </w:r>
      <w:r w:rsidR="00961086" w:rsidRPr="009565B9">
        <w:rPr>
          <w:rFonts w:eastAsiaTheme="minorHAnsi" w:cs="Arial"/>
          <w:i/>
          <w:lang w:eastAsia="en-US"/>
        </w:rPr>
        <w:t>emand</w:t>
      </w:r>
      <w:r w:rsidR="00961086" w:rsidRPr="009565B9">
        <w:rPr>
          <w:rFonts w:eastAsiaTheme="minorHAnsi" w:cs="Arial"/>
          <w:lang w:eastAsia="en-US"/>
        </w:rPr>
        <w:t xml:space="preserve"> – </w:t>
      </w:r>
      <w:r w:rsidRPr="009565B9">
        <w:rPr>
          <w:rFonts w:eastAsiaTheme="minorHAnsi" w:cs="Arial"/>
          <w:lang w:eastAsia="en-US"/>
        </w:rPr>
        <w:t>in such a short timescale</w:t>
      </w:r>
      <w:r w:rsidR="00FF51FF" w:rsidRPr="009565B9">
        <w:rPr>
          <w:rFonts w:eastAsiaTheme="minorHAnsi" w:cs="Arial"/>
          <w:lang w:eastAsia="en-US"/>
        </w:rPr>
        <w:t>s</w:t>
      </w:r>
      <w:r w:rsidRPr="009565B9">
        <w:rPr>
          <w:rFonts w:eastAsiaTheme="minorHAnsi" w:cs="Arial"/>
          <w:lang w:eastAsia="en-US"/>
        </w:rPr>
        <w:t xml:space="preserve">, detailed market analysis has not yet been undertaken </w:t>
      </w:r>
      <w:r w:rsidR="00FF51FF" w:rsidRPr="009565B9">
        <w:rPr>
          <w:rFonts w:eastAsiaTheme="minorHAnsi" w:cs="Arial"/>
          <w:lang w:eastAsia="en-US"/>
        </w:rPr>
        <w:t>across London</w:t>
      </w:r>
      <w:r w:rsidRPr="009565B9">
        <w:rPr>
          <w:rFonts w:eastAsiaTheme="minorHAnsi" w:cs="Arial"/>
          <w:lang w:eastAsia="en-US"/>
        </w:rPr>
        <w:t xml:space="preserve">.  </w:t>
      </w:r>
      <w:r w:rsidR="00FF51FF" w:rsidRPr="009565B9">
        <w:rPr>
          <w:rFonts w:eastAsiaTheme="minorHAnsi" w:cs="Arial"/>
          <w:lang w:eastAsia="en-US"/>
        </w:rPr>
        <w:t>The Group will explore undertaking such</w:t>
      </w:r>
      <w:r w:rsidR="001A47A6" w:rsidRPr="009565B9">
        <w:rPr>
          <w:rFonts w:eastAsiaTheme="minorHAnsi" w:cs="Arial"/>
          <w:lang w:eastAsia="en-US"/>
        </w:rPr>
        <w:t xml:space="preserve"> a market analysis. T</w:t>
      </w:r>
      <w:r w:rsidR="009D6192" w:rsidRPr="009565B9">
        <w:rPr>
          <w:rFonts w:eastAsiaTheme="minorHAnsi" w:cs="Arial"/>
          <w:lang w:eastAsia="en-US"/>
        </w:rPr>
        <w:t xml:space="preserve">here is </w:t>
      </w:r>
      <w:r w:rsidR="00FF51FF" w:rsidRPr="009565B9">
        <w:rPr>
          <w:rFonts w:eastAsiaTheme="minorHAnsi" w:cs="Arial"/>
          <w:lang w:eastAsia="en-US"/>
        </w:rPr>
        <w:t xml:space="preserve">also </w:t>
      </w:r>
      <w:r w:rsidR="009D6192" w:rsidRPr="009565B9">
        <w:rPr>
          <w:rFonts w:eastAsiaTheme="minorHAnsi" w:cs="Arial"/>
          <w:lang w:eastAsia="en-US"/>
        </w:rPr>
        <w:t>a risk that by increasing the numbers of providers</w:t>
      </w:r>
      <w:r w:rsidR="00FF51FF" w:rsidRPr="009565B9">
        <w:rPr>
          <w:rFonts w:eastAsiaTheme="minorHAnsi" w:cs="Arial"/>
          <w:lang w:eastAsia="en-US"/>
        </w:rPr>
        <w:t xml:space="preserve"> </w:t>
      </w:r>
      <w:r w:rsidR="009D6192" w:rsidRPr="009565B9">
        <w:rPr>
          <w:rFonts w:eastAsiaTheme="minorHAnsi" w:cs="Arial"/>
          <w:lang w:eastAsia="en-US"/>
        </w:rPr>
        <w:t xml:space="preserve">of services that demand </w:t>
      </w:r>
      <w:r w:rsidR="00E44274" w:rsidRPr="009565B9">
        <w:rPr>
          <w:rFonts w:eastAsiaTheme="minorHAnsi" w:cs="Arial"/>
          <w:lang w:eastAsia="en-US"/>
        </w:rPr>
        <w:t>may be stimulated</w:t>
      </w:r>
      <w:r w:rsidR="009D6192" w:rsidRPr="009565B9">
        <w:rPr>
          <w:rFonts w:eastAsiaTheme="minorHAnsi" w:cs="Arial"/>
          <w:lang w:eastAsia="en-US"/>
        </w:rPr>
        <w:t>.</w:t>
      </w:r>
      <w:r w:rsidR="00E44274" w:rsidRPr="009565B9">
        <w:rPr>
          <w:rFonts w:eastAsiaTheme="minorHAnsi" w:cs="Arial"/>
          <w:lang w:eastAsia="en-US"/>
        </w:rPr>
        <w:t xml:space="preserve">  This will need to be mitigated in the development of service specifications</w:t>
      </w:r>
      <w:r w:rsidR="001A47A6" w:rsidRPr="009565B9">
        <w:rPr>
          <w:rFonts w:eastAsiaTheme="minorHAnsi" w:cs="Arial"/>
          <w:lang w:eastAsia="en-US"/>
        </w:rPr>
        <w:t>, referral thresholds</w:t>
      </w:r>
      <w:r w:rsidR="0085260A">
        <w:rPr>
          <w:rFonts w:eastAsiaTheme="minorHAnsi" w:cs="Arial"/>
          <w:lang w:eastAsia="en-US"/>
        </w:rPr>
        <w:t>,</w:t>
      </w:r>
      <w:r w:rsidR="001A47A6" w:rsidRPr="009565B9">
        <w:rPr>
          <w:rFonts w:eastAsiaTheme="minorHAnsi" w:cs="Arial"/>
          <w:lang w:eastAsia="en-US"/>
        </w:rPr>
        <w:t xml:space="preserve"> etc</w:t>
      </w:r>
      <w:r w:rsidR="00E44274" w:rsidRPr="009565B9">
        <w:rPr>
          <w:rFonts w:eastAsiaTheme="minorHAnsi" w:cs="Arial"/>
          <w:lang w:eastAsia="en-US"/>
        </w:rPr>
        <w:t>.</w:t>
      </w:r>
      <w:r w:rsidRPr="009565B9">
        <w:rPr>
          <w:rFonts w:eastAsiaTheme="minorHAnsi" w:cs="Arial"/>
          <w:lang w:eastAsia="en-US"/>
        </w:rPr>
        <w:t xml:space="preserve">  </w:t>
      </w:r>
      <w:r w:rsidR="00E44274" w:rsidRPr="009565B9">
        <w:rPr>
          <w:rFonts w:eastAsiaTheme="minorHAnsi" w:cs="Arial"/>
          <w:lang w:eastAsia="en-US"/>
        </w:rPr>
        <w:t xml:space="preserve"> </w:t>
      </w:r>
      <w:r w:rsidR="009D6192" w:rsidRPr="009565B9">
        <w:rPr>
          <w:rFonts w:eastAsiaTheme="minorHAnsi" w:cs="Arial"/>
          <w:lang w:eastAsia="en-US"/>
        </w:rPr>
        <w:t xml:space="preserve">  </w:t>
      </w:r>
    </w:p>
    <w:p w:rsidR="00CB1B29" w:rsidRPr="009565B9" w:rsidRDefault="00CB1B29" w:rsidP="009565B9">
      <w:pPr>
        <w:spacing w:after="240" w:line="276" w:lineRule="auto"/>
        <w:ind w:left="-567" w:hanging="567"/>
        <w:rPr>
          <w:rFonts w:eastAsiaTheme="minorHAnsi" w:cs="Arial"/>
          <w:b/>
          <w:lang w:eastAsia="en-US"/>
        </w:rPr>
      </w:pPr>
      <w:r w:rsidRPr="009565B9">
        <w:rPr>
          <w:rFonts w:eastAsiaTheme="minorHAnsi" w:cs="Arial"/>
          <w:b/>
          <w:lang w:eastAsia="en-US"/>
        </w:rPr>
        <w:t>5.</w:t>
      </w:r>
      <w:r w:rsidRPr="009565B9">
        <w:rPr>
          <w:rFonts w:eastAsiaTheme="minorHAnsi" w:cs="Arial"/>
          <w:b/>
          <w:lang w:eastAsia="en-US"/>
        </w:rPr>
        <w:tab/>
        <w:t>Planned next steps</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5.1</w:t>
      </w:r>
      <w:r w:rsidRPr="009565B9">
        <w:rPr>
          <w:rFonts w:eastAsiaTheme="minorHAnsi" w:cs="Arial"/>
          <w:lang w:eastAsia="en-US"/>
        </w:rPr>
        <w:tab/>
        <w:t>As required by DH, clusters will engage with their pathfinders, local authorities, emerging Health and Wellbeing Boards, LINks / Healthwatch pathfinders, and other stakeholders to gather views on local priorities for AQP implementation.</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5.2</w:t>
      </w:r>
      <w:r w:rsidRPr="009565B9">
        <w:rPr>
          <w:rFonts w:eastAsiaTheme="minorHAnsi" w:cs="Arial"/>
          <w:lang w:eastAsia="en-US"/>
        </w:rPr>
        <w:tab/>
        <w:t>The engagement will be informed by the ‘stocktake’ and a set of communications materials has been developed, which can be adapted locally.</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5.3</w:t>
      </w:r>
      <w:r w:rsidRPr="009565B9">
        <w:rPr>
          <w:rFonts w:eastAsiaTheme="minorHAnsi" w:cs="Arial"/>
          <w:lang w:eastAsia="en-US"/>
        </w:rPr>
        <w:tab/>
        <w:t xml:space="preserve">Considering the short timescales, the teleconference of Directors of Communications on 18 August proposed writing to each stakeholder group with the information and inviting comment by the end of September.  Other existing routes to engagement (e.g. meetings that are already planned) </w:t>
      </w:r>
      <w:r w:rsidR="0085260A">
        <w:rPr>
          <w:rFonts w:eastAsiaTheme="minorHAnsi" w:cs="Arial"/>
          <w:lang w:eastAsia="en-US"/>
        </w:rPr>
        <w:t>will</w:t>
      </w:r>
      <w:r w:rsidRPr="009565B9">
        <w:rPr>
          <w:rFonts w:eastAsiaTheme="minorHAnsi" w:cs="Arial"/>
          <w:lang w:eastAsia="en-US"/>
        </w:rPr>
        <w:t xml:space="preserve"> also be exploited if possible and appropriate.</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5.4</w:t>
      </w:r>
      <w:r w:rsidRPr="009565B9">
        <w:rPr>
          <w:rFonts w:eastAsiaTheme="minorHAnsi" w:cs="Arial"/>
          <w:lang w:eastAsia="en-US"/>
        </w:rPr>
        <w:tab/>
        <w:t xml:space="preserve">The DH guidance sets out that PCT clusters / commissioning groups (pathfinders) should agree their three priorities, using feedback from the September engagement, for 2012 implementation </w:t>
      </w:r>
      <w:r w:rsidR="00CC7F79" w:rsidRPr="009565B9">
        <w:rPr>
          <w:rFonts w:eastAsiaTheme="minorHAnsi" w:cs="Arial"/>
          <w:lang w:eastAsia="en-US"/>
        </w:rPr>
        <w:t>of</w:t>
      </w:r>
      <w:r w:rsidRPr="009565B9">
        <w:rPr>
          <w:rFonts w:eastAsiaTheme="minorHAnsi" w:cs="Arial"/>
          <w:lang w:eastAsia="en-US"/>
        </w:rPr>
        <w:t xml:space="preserve"> AQP and notify their SHA by 31 October.</w:t>
      </w:r>
      <w:r w:rsidR="00E44274" w:rsidRPr="009565B9">
        <w:rPr>
          <w:rFonts w:eastAsiaTheme="minorHAnsi" w:cs="Arial"/>
          <w:lang w:eastAsia="en-US"/>
        </w:rPr>
        <w:t xml:space="preserve">  </w:t>
      </w:r>
      <w:r w:rsidR="001A47A6" w:rsidRPr="009565B9">
        <w:rPr>
          <w:rFonts w:eastAsiaTheme="minorHAnsi" w:cs="Arial"/>
          <w:lang w:eastAsia="en-US"/>
        </w:rPr>
        <w:t>The Group</w:t>
      </w:r>
      <w:r w:rsidR="00E44274" w:rsidRPr="009565B9">
        <w:rPr>
          <w:rFonts w:eastAsiaTheme="minorHAnsi" w:cs="Arial"/>
          <w:lang w:eastAsia="en-US"/>
        </w:rPr>
        <w:t xml:space="preserve"> will develop high-level implementation plans </w:t>
      </w:r>
      <w:r w:rsidR="0022373C" w:rsidRPr="009565B9">
        <w:rPr>
          <w:rFonts w:eastAsiaTheme="minorHAnsi" w:cs="Arial"/>
          <w:lang w:eastAsia="en-US"/>
        </w:rPr>
        <w:t xml:space="preserve">for clusters </w:t>
      </w:r>
      <w:r w:rsidR="00E44274" w:rsidRPr="009565B9">
        <w:rPr>
          <w:rFonts w:eastAsiaTheme="minorHAnsi" w:cs="Arial"/>
          <w:lang w:eastAsia="en-US"/>
        </w:rPr>
        <w:t>through September / October to ensure deliverability prior to decision-making</w:t>
      </w:r>
      <w:r w:rsidR="0022373C" w:rsidRPr="009565B9">
        <w:rPr>
          <w:rFonts w:eastAsiaTheme="minorHAnsi" w:cs="Arial"/>
          <w:lang w:eastAsia="en-US"/>
        </w:rPr>
        <w:t>. It also could support implementation beyond October if this is considered helpful.</w:t>
      </w:r>
      <w:r w:rsidR="00E44274" w:rsidRPr="009565B9">
        <w:rPr>
          <w:rFonts w:eastAsiaTheme="minorHAnsi" w:cs="Arial"/>
          <w:lang w:eastAsia="en-US"/>
        </w:rPr>
        <w:t xml:space="preserve">  </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5.6</w:t>
      </w:r>
      <w:r w:rsidRPr="009565B9">
        <w:rPr>
          <w:rFonts w:eastAsiaTheme="minorHAnsi" w:cs="Arial"/>
          <w:lang w:eastAsia="en-US"/>
        </w:rPr>
        <w:tab/>
        <w:t>Each cluster has its own governance</w:t>
      </w:r>
      <w:r w:rsidR="00CC7F79" w:rsidRPr="009565B9">
        <w:rPr>
          <w:rFonts w:eastAsiaTheme="minorHAnsi" w:cs="Arial"/>
          <w:lang w:eastAsia="en-US"/>
        </w:rPr>
        <w:t xml:space="preserve"> </w:t>
      </w:r>
      <w:r w:rsidRPr="009565B9">
        <w:rPr>
          <w:rFonts w:eastAsiaTheme="minorHAnsi" w:cs="Arial"/>
          <w:lang w:eastAsia="en-US"/>
        </w:rPr>
        <w:t xml:space="preserve">structure and arrangements with pathfinders to reach decisions.  </w:t>
      </w:r>
      <w:r w:rsidR="00706199" w:rsidRPr="009565B9">
        <w:rPr>
          <w:rFonts w:eastAsiaTheme="minorHAnsi" w:cs="Arial"/>
          <w:lang w:eastAsia="en-US"/>
        </w:rPr>
        <w:t xml:space="preserve">The Cluster CEOs’ meeting on 30 August </w:t>
      </w:r>
      <w:r w:rsidR="0022373C" w:rsidRPr="009565B9">
        <w:rPr>
          <w:rFonts w:eastAsiaTheme="minorHAnsi" w:cs="Arial"/>
          <w:lang w:eastAsia="en-US"/>
        </w:rPr>
        <w:t>agreed</w:t>
      </w:r>
      <w:r w:rsidR="00706199" w:rsidRPr="009565B9">
        <w:rPr>
          <w:rFonts w:eastAsiaTheme="minorHAnsi" w:cs="Arial"/>
          <w:lang w:eastAsia="en-US"/>
        </w:rPr>
        <w:t xml:space="preserve"> that a pan-L</w:t>
      </w:r>
      <w:r w:rsidR="007944EB" w:rsidRPr="009565B9">
        <w:rPr>
          <w:rFonts w:eastAsiaTheme="minorHAnsi" w:cs="Arial"/>
          <w:lang w:eastAsia="en-US"/>
        </w:rPr>
        <w:t>ondon implementation of AQP may</w:t>
      </w:r>
      <w:r w:rsidR="00706199" w:rsidRPr="009565B9">
        <w:rPr>
          <w:rFonts w:eastAsiaTheme="minorHAnsi" w:cs="Arial"/>
          <w:lang w:eastAsia="en-US"/>
        </w:rPr>
        <w:t xml:space="preserve"> not meet local priorities</w:t>
      </w:r>
      <w:r w:rsidR="0085260A">
        <w:rPr>
          <w:rFonts w:eastAsiaTheme="minorHAnsi" w:cs="Arial"/>
          <w:lang w:eastAsia="en-US"/>
        </w:rPr>
        <w:t xml:space="preserve"> although there is potential for some collaboration</w:t>
      </w:r>
      <w:r w:rsidR="00706199" w:rsidRPr="009565B9">
        <w:rPr>
          <w:rFonts w:eastAsiaTheme="minorHAnsi" w:cs="Arial"/>
          <w:lang w:eastAsia="en-US"/>
        </w:rPr>
        <w:t xml:space="preserve">.  Therefore, </w:t>
      </w:r>
      <w:r w:rsidR="0022373C" w:rsidRPr="009565B9">
        <w:rPr>
          <w:rFonts w:eastAsiaTheme="minorHAnsi" w:cs="Arial"/>
          <w:lang w:eastAsia="en-US"/>
        </w:rPr>
        <w:t xml:space="preserve">it is proposed that </w:t>
      </w:r>
      <w:r w:rsidR="00706199" w:rsidRPr="009565B9">
        <w:rPr>
          <w:rFonts w:eastAsiaTheme="minorHAnsi" w:cs="Arial"/>
          <w:lang w:eastAsia="en-US"/>
        </w:rPr>
        <w:t>decision-making should be done through existing cluster governance</w:t>
      </w:r>
      <w:r w:rsidR="007944EB" w:rsidRPr="009565B9">
        <w:rPr>
          <w:rFonts w:eastAsiaTheme="minorHAnsi" w:cs="Arial"/>
          <w:lang w:eastAsia="en-US"/>
        </w:rPr>
        <w:t xml:space="preserve"> arrangements</w:t>
      </w:r>
      <w:r w:rsidR="00706199" w:rsidRPr="009565B9">
        <w:rPr>
          <w:rFonts w:eastAsiaTheme="minorHAnsi" w:cs="Arial"/>
          <w:lang w:eastAsia="en-US"/>
        </w:rPr>
        <w:t xml:space="preserve">.  It should be noted though that the DH guidance sets out </w:t>
      </w:r>
      <w:r w:rsidR="0022373C" w:rsidRPr="009565B9">
        <w:rPr>
          <w:rFonts w:eastAsiaTheme="minorHAnsi" w:cs="Arial"/>
          <w:lang w:eastAsia="en-US"/>
        </w:rPr>
        <w:t xml:space="preserve">that </w:t>
      </w:r>
      <w:r w:rsidR="00706199" w:rsidRPr="009565B9">
        <w:rPr>
          <w:rFonts w:eastAsiaTheme="minorHAnsi" w:cs="Arial"/>
          <w:lang w:eastAsia="en-US"/>
        </w:rPr>
        <w:t>SHAs’ should assess of the suitability of alternative services to those on the national list where proposed by PCT clusters.</w:t>
      </w:r>
    </w:p>
    <w:p w:rsidR="0055588C" w:rsidRPr="009565B9" w:rsidRDefault="0055588C" w:rsidP="009565B9">
      <w:pPr>
        <w:spacing w:after="240" w:line="276" w:lineRule="auto"/>
        <w:ind w:left="-567" w:hanging="567"/>
        <w:rPr>
          <w:rFonts w:eastAsiaTheme="minorHAnsi" w:cs="Arial"/>
          <w:lang w:eastAsia="en-US"/>
        </w:rPr>
      </w:pPr>
      <w:r w:rsidRPr="009565B9">
        <w:rPr>
          <w:rFonts w:eastAsiaTheme="minorHAnsi" w:cs="Arial"/>
          <w:lang w:eastAsia="en-US"/>
        </w:rPr>
        <w:t>5.7</w:t>
      </w:r>
      <w:r w:rsidRPr="009565B9">
        <w:rPr>
          <w:rFonts w:eastAsiaTheme="minorHAnsi" w:cs="Arial"/>
          <w:lang w:eastAsia="en-US"/>
        </w:rPr>
        <w:tab/>
      </w:r>
      <w:r w:rsidR="00075024" w:rsidRPr="009565B9">
        <w:rPr>
          <w:rFonts w:eastAsiaTheme="minorHAnsi" w:cs="Arial"/>
          <w:lang w:eastAsia="en-US"/>
        </w:rPr>
        <w:t>On 28 July 2011, the Cooperation and Competition Panel published a report in its review of the operation of Any Willing Provider for the provision of routine elective care.  It is understood that there may be actions required to be taken by PCT clusters, which DH will advise on in due course.  This may have some impact on the AQP work.  NHS London will liaise with DH and will share intelligence on this with clusters.</w:t>
      </w:r>
    </w:p>
    <w:p w:rsidR="00CB1B29" w:rsidRPr="009565B9" w:rsidRDefault="00CB1B29" w:rsidP="009565B9">
      <w:pPr>
        <w:spacing w:after="240" w:line="276" w:lineRule="auto"/>
        <w:ind w:left="-567" w:hanging="567"/>
        <w:rPr>
          <w:rFonts w:eastAsiaTheme="minorHAnsi" w:cs="Arial"/>
          <w:b/>
          <w:lang w:eastAsia="en-US"/>
        </w:rPr>
      </w:pPr>
      <w:r w:rsidRPr="009565B9">
        <w:rPr>
          <w:rFonts w:eastAsiaTheme="minorHAnsi" w:cs="Arial"/>
          <w:b/>
          <w:lang w:eastAsia="en-US"/>
        </w:rPr>
        <w:t>6.</w:t>
      </w:r>
      <w:r w:rsidRPr="009565B9">
        <w:rPr>
          <w:rFonts w:eastAsiaTheme="minorHAnsi" w:cs="Arial"/>
          <w:b/>
          <w:lang w:eastAsia="en-US"/>
        </w:rPr>
        <w:tab/>
        <w:t>Conclusion</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6.1</w:t>
      </w:r>
      <w:r w:rsidRPr="009565B9">
        <w:rPr>
          <w:rFonts w:eastAsiaTheme="minorHAnsi" w:cs="Arial"/>
          <w:lang w:eastAsia="en-US"/>
        </w:rPr>
        <w:tab/>
        <w:t>The work to identify priorities for implementation of AQP in line with DH guidance is underway.  Clusters have identified a number of opportunities and risks for each of the eight services proposed by DH and other services.</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6.2</w:t>
      </w:r>
      <w:r w:rsidRPr="009565B9">
        <w:rPr>
          <w:rFonts w:eastAsiaTheme="minorHAnsi" w:cs="Arial"/>
          <w:lang w:eastAsia="en-US"/>
        </w:rPr>
        <w:tab/>
        <w:t xml:space="preserve">Broader stakeholder engagement will be undertaken by clusters through September, which will inform decision-making </w:t>
      </w:r>
      <w:r w:rsidR="008754CE" w:rsidRPr="009565B9">
        <w:rPr>
          <w:rFonts w:eastAsiaTheme="minorHAnsi" w:cs="Arial"/>
          <w:lang w:eastAsia="en-US"/>
        </w:rPr>
        <w:t xml:space="preserve">by PCT clusters </w:t>
      </w:r>
      <w:r w:rsidRPr="009565B9">
        <w:rPr>
          <w:rFonts w:eastAsiaTheme="minorHAnsi" w:cs="Arial"/>
          <w:lang w:eastAsia="en-US"/>
        </w:rPr>
        <w:t>in October</w:t>
      </w:r>
      <w:r w:rsidR="008754CE" w:rsidRPr="009565B9">
        <w:rPr>
          <w:rFonts w:eastAsiaTheme="minorHAnsi" w:cs="Arial"/>
          <w:lang w:eastAsia="en-US"/>
        </w:rPr>
        <w:t xml:space="preserve"> and shared with NHS London by 31 October</w:t>
      </w:r>
      <w:r w:rsidRPr="009565B9">
        <w:rPr>
          <w:rFonts w:eastAsiaTheme="minorHAnsi" w:cs="Arial"/>
          <w:lang w:eastAsia="en-US"/>
        </w:rPr>
        <w:t>.</w:t>
      </w:r>
    </w:p>
    <w:p w:rsidR="00CB1B29" w:rsidRPr="009565B9" w:rsidRDefault="00CB1B29" w:rsidP="009565B9">
      <w:pPr>
        <w:spacing w:after="240" w:line="276" w:lineRule="auto"/>
        <w:ind w:left="-567" w:hanging="567"/>
        <w:rPr>
          <w:rFonts w:eastAsiaTheme="minorHAnsi" w:cs="Arial"/>
          <w:lang w:eastAsia="en-US"/>
        </w:rPr>
      </w:pPr>
      <w:r w:rsidRPr="009565B9">
        <w:rPr>
          <w:rFonts w:eastAsiaTheme="minorHAnsi" w:cs="Arial"/>
          <w:lang w:eastAsia="en-US"/>
        </w:rPr>
        <w:t>6.3</w:t>
      </w:r>
      <w:r w:rsidRPr="009565B9">
        <w:rPr>
          <w:rFonts w:eastAsiaTheme="minorHAnsi" w:cs="Arial"/>
          <w:lang w:eastAsia="en-US"/>
        </w:rPr>
        <w:tab/>
      </w:r>
      <w:r w:rsidR="00961086" w:rsidRPr="009565B9">
        <w:rPr>
          <w:rFonts w:eastAsiaTheme="minorHAnsi" w:cs="Arial"/>
          <w:lang w:eastAsia="en-US"/>
        </w:rPr>
        <w:t>The Reform Group is</w:t>
      </w:r>
      <w:r w:rsidRPr="009565B9">
        <w:rPr>
          <w:rFonts w:eastAsiaTheme="minorHAnsi" w:cs="Arial"/>
          <w:lang w:eastAsia="en-US"/>
        </w:rPr>
        <w:t xml:space="preserve"> invited to </w:t>
      </w:r>
      <w:r w:rsidR="008754CE" w:rsidRPr="009565B9">
        <w:rPr>
          <w:rFonts w:eastAsiaTheme="minorHAnsi" w:cs="Arial"/>
          <w:lang w:eastAsia="en-US"/>
        </w:rPr>
        <w:t xml:space="preserve">note and </w:t>
      </w:r>
      <w:r w:rsidRPr="009565B9">
        <w:rPr>
          <w:rFonts w:eastAsiaTheme="minorHAnsi" w:cs="Arial"/>
          <w:lang w:eastAsia="en-US"/>
        </w:rPr>
        <w:t>make comment on the work to date and planned</w:t>
      </w:r>
      <w:r w:rsidR="0022373C" w:rsidRPr="009565B9">
        <w:rPr>
          <w:rFonts w:eastAsiaTheme="minorHAnsi" w:cs="Arial"/>
          <w:lang w:eastAsia="en-US"/>
        </w:rPr>
        <w:t>.</w:t>
      </w:r>
    </w:p>
    <w:p w:rsidR="004B77BF" w:rsidRPr="009565B9" w:rsidRDefault="004B77BF" w:rsidP="009565B9">
      <w:pPr>
        <w:ind w:left="-567" w:hanging="567"/>
        <w:rPr>
          <w:rFonts w:eastAsiaTheme="minorHAnsi" w:cs="Arial"/>
          <w:lang w:eastAsia="en-US"/>
        </w:rPr>
      </w:pPr>
      <w:r w:rsidRPr="009565B9">
        <w:rPr>
          <w:rFonts w:eastAsiaTheme="minorHAnsi" w:cs="Arial"/>
          <w:lang w:eastAsia="en-US"/>
        </w:rPr>
        <w:br w:type="page"/>
      </w:r>
    </w:p>
    <w:p w:rsidR="004B77BF" w:rsidRPr="00164354" w:rsidRDefault="004B77BF" w:rsidP="00164354">
      <w:pPr>
        <w:spacing w:after="240" w:line="276" w:lineRule="auto"/>
        <w:ind w:left="-567" w:hanging="567"/>
        <w:rPr>
          <w:rFonts w:eastAsiaTheme="minorHAnsi" w:cs="Arial"/>
          <w:b/>
          <w:lang w:eastAsia="en-US"/>
        </w:rPr>
      </w:pPr>
      <w:r w:rsidRPr="00164354">
        <w:rPr>
          <w:rFonts w:eastAsiaTheme="minorHAnsi" w:cs="Arial"/>
          <w:b/>
          <w:lang w:eastAsia="en-US"/>
        </w:rPr>
        <w:t>Annex A</w:t>
      </w:r>
      <w:r w:rsidR="00164354" w:rsidRPr="00164354">
        <w:rPr>
          <w:rFonts w:eastAsiaTheme="minorHAnsi" w:cs="Arial"/>
          <w:b/>
          <w:lang w:eastAsia="en-US"/>
        </w:rPr>
        <w:t xml:space="preserve"> – outline of expectations of development of implementation packs</w:t>
      </w:r>
    </w:p>
    <w:p w:rsidR="004B77BF" w:rsidRPr="009565B9" w:rsidRDefault="004B77BF" w:rsidP="009565B9">
      <w:pPr>
        <w:ind w:left="-567" w:hanging="567"/>
        <w:rPr>
          <w:rFonts w:cs="Arial"/>
          <w:b/>
          <w:bCs/>
        </w:rPr>
      </w:pPr>
      <w:r w:rsidRPr="009565B9">
        <w:rPr>
          <w:rFonts w:cs="Arial"/>
          <w:b/>
          <w:bCs/>
        </w:rPr>
        <w:t>The task</w:t>
      </w:r>
    </w:p>
    <w:p w:rsidR="004B77BF" w:rsidRPr="009565B9" w:rsidRDefault="004B77BF" w:rsidP="009565B9">
      <w:pPr>
        <w:ind w:left="-567" w:hanging="567"/>
        <w:rPr>
          <w:rFonts w:cs="Arial"/>
        </w:rPr>
      </w:pPr>
    </w:p>
    <w:p w:rsidR="004B77BF" w:rsidRPr="009565B9" w:rsidRDefault="004B77BF" w:rsidP="009565B9">
      <w:pPr>
        <w:ind w:left="-1134"/>
        <w:rPr>
          <w:rFonts w:cs="Arial"/>
        </w:rPr>
      </w:pPr>
      <w:r w:rsidRPr="009565B9">
        <w:rPr>
          <w:rFonts w:cs="Arial"/>
        </w:rPr>
        <w:t xml:space="preserve">Drawing on published guidance and identified exemplars, </w:t>
      </w:r>
      <w:r w:rsidR="00164354">
        <w:rPr>
          <w:rFonts w:cs="Arial"/>
        </w:rPr>
        <w:t>DH</w:t>
      </w:r>
      <w:r w:rsidRPr="009565B9">
        <w:rPr>
          <w:rFonts w:cs="Arial"/>
        </w:rPr>
        <w:t xml:space="preserve"> are asking the </w:t>
      </w:r>
      <w:r w:rsidRPr="009565B9">
        <w:rPr>
          <w:rFonts w:cs="Arial"/>
          <w:b/>
          <w:bCs/>
          <w:u w:val="single"/>
        </w:rPr>
        <w:t>Volunteer Clusters</w:t>
      </w:r>
      <w:r w:rsidRPr="009565B9">
        <w:rPr>
          <w:rFonts w:cs="Arial"/>
        </w:rPr>
        <w:t xml:space="preserve"> to prepare and test an implementation pack which could be used by the wider NHS, to include:</w:t>
      </w:r>
    </w:p>
    <w:p w:rsidR="004B77BF" w:rsidRPr="009565B9" w:rsidRDefault="004B77BF" w:rsidP="009565B9">
      <w:pPr>
        <w:ind w:left="-567" w:hanging="567"/>
        <w:rPr>
          <w:rFonts w:cs="Arial"/>
        </w:rPr>
      </w:pPr>
    </w:p>
    <w:p w:rsidR="004B77BF" w:rsidRPr="009565B9" w:rsidRDefault="004B77BF" w:rsidP="009565B9">
      <w:pPr>
        <w:numPr>
          <w:ilvl w:val="0"/>
          <w:numId w:val="31"/>
        </w:numPr>
        <w:ind w:left="-567" w:hanging="567"/>
        <w:rPr>
          <w:rFonts w:cs="Arial"/>
        </w:rPr>
      </w:pPr>
      <w:r w:rsidRPr="009565B9">
        <w:rPr>
          <w:rFonts w:cs="Arial"/>
        </w:rPr>
        <w:t>Key Performance Indicators for the service delivery</w:t>
      </w:r>
    </w:p>
    <w:p w:rsidR="004B77BF" w:rsidRPr="009565B9" w:rsidRDefault="004B77BF" w:rsidP="009565B9">
      <w:pPr>
        <w:numPr>
          <w:ilvl w:val="0"/>
          <w:numId w:val="31"/>
        </w:numPr>
        <w:ind w:left="-567" w:hanging="567"/>
        <w:rPr>
          <w:rFonts w:cs="Arial"/>
        </w:rPr>
      </w:pPr>
      <w:r w:rsidRPr="009565B9">
        <w:rPr>
          <w:rFonts w:cs="Arial"/>
        </w:rPr>
        <w:t xml:space="preserve">a generic clinical and quality outcome based Service Specification, including key outcome measures </w:t>
      </w:r>
    </w:p>
    <w:p w:rsidR="004B77BF" w:rsidRPr="009565B9" w:rsidRDefault="004B77BF" w:rsidP="009565B9">
      <w:pPr>
        <w:numPr>
          <w:ilvl w:val="0"/>
          <w:numId w:val="31"/>
        </w:numPr>
        <w:ind w:left="-567" w:hanging="567"/>
        <w:rPr>
          <w:rFonts w:cs="Arial"/>
        </w:rPr>
      </w:pPr>
      <w:r w:rsidRPr="009565B9">
        <w:rPr>
          <w:rFonts w:cs="Arial"/>
        </w:rPr>
        <w:t>a Currency Model transferable across the NHS</w:t>
      </w:r>
    </w:p>
    <w:p w:rsidR="004B77BF" w:rsidRPr="009565B9" w:rsidRDefault="004B77BF" w:rsidP="009565B9">
      <w:pPr>
        <w:numPr>
          <w:ilvl w:val="0"/>
          <w:numId w:val="31"/>
        </w:numPr>
        <w:ind w:left="-567" w:hanging="567"/>
        <w:rPr>
          <w:rFonts w:cs="Arial"/>
        </w:rPr>
      </w:pPr>
      <w:r w:rsidRPr="009565B9">
        <w:rPr>
          <w:rFonts w:cs="Arial"/>
        </w:rPr>
        <w:t>engagement with patients and patient representative to give guidance to the NHS on what  specific information patients need to make an informed choice of qualified provider in the service area</w:t>
      </w:r>
    </w:p>
    <w:p w:rsidR="004B77BF" w:rsidRPr="009565B9" w:rsidRDefault="004B77BF" w:rsidP="009565B9">
      <w:pPr>
        <w:numPr>
          <w:ilvl w:val="0"/>
          <w:numId w:val="31"/>
        </w:numPr>
        <w:ind w:left="-567" w:hanging="567"/>
        <w:rPr>
          <w:rFonts w:cs="Arial"/>
        </w:rPr>
      </w:pPr>
      <w:r w:rsidRPr="009565B9">
        <w:rPr>
          <w:rFonts w:cs="Arial"/>
        </w:rPr>
        <w:t xml:space="preserve">consideration of any additional qualification criteria, </w:t>
      </w:r>
    </w:p>
    <w:p w:rsidR="004B77BF" w:rsidRPr="009565B9" w:rsidRDefault="004B77BF" w:rsidP="009565B9">
      <w:pPr>
        <w:numPr>
          <w:ilvl w:val="0"/>
          <w:numId w:val="31"/>
        </w:numPr>
        <w:ind w:left="-567" w:hanging="567"/>
        <w:rPr>
          <w:rFonts w:cs="Arial"/>
        </w:rPr>
      </w:pPr>
      <w:r w:rsidRPr="009565B9">
        <w:rPr>
          <w:rFonts w:cs="Arial"/>
        </w:rPr>
        <w:t>review and ‘dry-run’ testing of the DH “standard” qualification questionnaire and identify any amendments to support the particular service</w:t>
      </w:r>
    </w:p>
    <w:p w:rsidR="004B77BF" w:rsidRPr="009565B9" w:rsidRDefault="004B77BF" w:rsidP="009565B9">
      <w:pPr>
        <w:ind w:left="-567" w:hanging="567"/>
        <w:rPr>
          <w:rFonts w:cs="Arial"/>
        </w:rPr>
      </w:pPr>
    </w:p>
    <w:p w:rsidR="004B77BF" w:rsidRPr="009565B9" w:rsidRDefault="004B77BF" w:rsidP="009565B9">
      <w:pPr>
        <w:ind w:left="-567" w:hanging="567"/>
        <w:rPr>
          <w:rFonts w:cs="Arial"/>
        </w:rPr>
      </w:pPr>
      <w:r w:rsidRPr="009565B9">
        <w:rPr>
          <w:rFonts w:cs="Arial"/>
        </w:rPr>
        <w:t xml:space="preserve">And in return, the </w:t>
      </w:r>
      <w:r w:rsidRPr="009565B9">
        <w:rPr>
          <w:rFonts w:cs="Arial"/>
          <w:b/>
          <w:bCs/>
          <w:u w:val="single"/>
        </w:rPr>
        <w:t>Department of Health</w:t>
      </w:r>
      <w:r w:rsidRPr="009565B9">
        <w:rPr>
          <w:rFonts w:cs="Arial"/>
        </w:rPr>
        <w:t xml:space="preserve"> will:</w:t>
      </w:r>
    </w:p>
    <w:p w:rsidR="004B77BF" w:rsidRPr="009565B9" w:rsidRDefault="004B77BF" w:rsidP="009565B9">
      <w:pPr>
        <w:ind w:left="-567" w:hanging="567"/>
        <w:rPr>
          <w:rFonts w:cs="Arial"/>
          <w:b/>
          <w:bCs/>
        </w:rPr>
      </w:pPr>
    </w:p>
    <w:p w:rsidR="004B77BF" w:rsidRPr="009565B9" w:rsidRDefault="004B77BF" w:rsidP="009565B9">
      <w:pPr>
        <w:numPr>
          <w:ilvl w:val="0"/>
          <w:numId w:val="31"/>
        </w:numPr>
        <w:ind w:left="-567" w:hanging="567"/>
        <w:rPr>
          <w:rFonts w:cs="Arial"/>
        </w:rPr>
      </w:pPr>
      <w:r w:rsidRPr="009565B9">
        <w:rPr>
          <w:rFonts w:cs="Arial"/>
        </w:rPr>
        <w:t>work with the identified volunteer clusters to support and where appropriate, co produce the products working in partnership with relevant national patient representative and healthcare professional organisations</w:t>
      </w:r>
    </w:p>
    <w:p w:rsidR="004B77BF" w:rsidRPr="009565B9" w:rsidRDefault="004B77BF" w:rsidP="009565B9">
      <w:pPr>
        <w:numPr>
          <w:ilvl w:val="0"/>
          <w:numId w:val="31"/>
        </w:numPr>
        <w:ind w:left="-567" w:hanging="567"/>
        <w:rPr>
          <w:rFonts w:cs="Arial"/>
        </w:rPr>
      </w:pPr>
      <w:r w:rsidRPr="009565B9">
        <w:rPr>
          <w:rFonts w:cs="Arial"/>
        </w:rPr>
        <w:t>provide funding to assist with the preparation of the products</w:t>
      </w:r>
    </w:p>
    <w:p w:rsidR="004B77BF" w:rsidRPr="009565B9" w:rsidRDefault="004B77BF" w:rsidP="009565B9">
      <w:pPr>
        <w:numPr>
          <w:ilvl w:val="0"/>
          <w:numId w:val="31"/>
        </w:numPr>
        <w:ind w:left="-567" w:hanging="567"/>
        <w:rPr>
          <w:rFonts w:cs="Arial"/>
        </w:rPr>
      </w:pPr>
      <w:r w:rsidRPr="009565B9">
        <w:rPr>
          <w:rFonts w:cs="Arial"/>
        </w:rPr>
        <w:t>provide access to subject matter experts (</w:t>
      </w:r>
      <w:proofErr w:type="spellStart"/>
      <w:r w:rsidRPr="009565B9">
        <w:rPr>
          <w:rFonts w:cs="Arial"/>
        </w:rPr>
        <w:t>eg</w:t>
      </w:r>
      <w:proofErr w:type="spellEnd"/>
      <w:r w:rsidRPr="009565B9">
        <w:rPr>
          <w:rFonts w:cs="Arial"/>
        </w:rPr>
        <w:t xml:space="preserve"> clinical, policy, procurement) </w:t>
      </w:r>
    </w:p>
    <w:p w:rsidR="004B77BF" w:rsidRPr="009565B9" w:rsidRDefault="004B77BF" w:rsidP="009565B9">
      <w:pPr>
        <w:numPr>
          <w:ilvl w:val="0"/>
          <w:numId w:val="31"/>
        </w:numPr>
        <w:ind w:left="-567" w:hanging="567"/>
        <w:rPr>
          <w:rFonts w:cs="Arial"/>
        </w:rPr>
      </w:pPr>
      <w:r w:rsidRPr="009565B9">
        <w:rPr>
          <w:rFonts w:cs="Arial"/>
        </w:rPr>
        <w:t xml:space="preserve">share exemplar products and information from engagement work undertaken in the development of the policy and selection of the list of potential services for priority implementation </w:t>
      </w:r>
    </w:p>
    <w:p w:rsidR="004B77BF" w:rsidRPr="009565B9" w:rsidRDefault="004B77BF" w:rsidP="009565B9">
      <w:pPr>
        <w:numPr>
          <w:ilvl w:val="0"/>
          <w:numId w:val="31"/>
        </w:numPr>
        <w:ind w:left="-567" w:hanging="567"/>
        <w:rPr>
          <w:rFonts w:cs="Arial"/>
        </w:rPr>
      </w:pPr>
      <w:r w:rsidRPr="009565B9">
        <w:rPr>
          <w:rFonts w:cs="Arial"/>
        </w:rPr>
        <w:t xml:space="preserve">Provide strategic testing of the pack in terms of upcoming policies and direction, </w:t>
      </w:r>
      <w:proofErr w:type="spellStart"/>
      <w:r w:rsidRPr="009565B9">
        <w:rPr>
          <w:rFonts w:cs="Arial"/>
        </w:rPr>
        <w:t>eg</w:t>
      </w:r>
      <w:proofErr w:type="spellEnd"/>
      <w:r w:rsidRPr="009565B9">
        <w:rPr>
          <w:rFonts w:cs="Arial"/>
        </w:rPr>
        <w:t xml:space="preserve"> use of local datasets </w:t>
      </w:r>
      <w:proofErr w:type="spellStart"/>
      <w:r w:rsidRPr="009565B9">
        <w:rPr>
          <w:rFonts w:cs="Arial"/>
        </w:rPr>
        <w:t>vs</w:t>
      </w:r>
      <w:proofErr w:type="spellEnd"/>
      <w:r w:rsidRPr="009565B9">
        <w:rPr>
          <w:rFonts w:cs="Arial"/>
        </w:rPr>
        <w:t xml:space="preserve"> national direction of travel</w:t>
      </w:r>
    </w:p>
    <w:p w:rsidR="004B77BF" w:rsidRPr="009565B9" w:rsidRDefault="004B77BF" w:rsidP="009565B9">
      <w:pPr>
        <w:numPr>
          <w:ilvl w:val="0"/>
          <w:numId w:val="31"/>
        </w:numPr>
        <w:ind w:left="-567" w:hanging="567"/>
        <w:rPr>
          <w:rFonts w:cs="Arial"/>
        </w:rPr>
      </w:pPr>
      <w:r w:rsidRPr="009565B9">
        <w:rPr>
          <w:rFonts w:cs="Arial"/>
        </w:rPr>
        <w:t>Provide access to experience and lessons learned (for example regarding Market engagement for that service)</w:t>
      </w:r>
    </w:p>
    <w:p w:rsidR="004B77BF" w:rsidRPr="00164354" w:rsidRDefault="004B77BF" w:rsidP="004B77BF">
      <w:pPr>
        <w:numPr>
          <w:ilvl w:val="0"/>
          <w:numId w:val="31"/>
        </w:numPr>
        <w:ind w:left="-567" w:hanging="567"/>
        <w:rPr>
          <w:rFonts w:cs="Arial"/>
          <w:b/>
          <w:bCs/>
        </w:rPr>
      </w:pPr>
      <w:r w:rsidRPr="009565B9">
        <w:rPr>
          <w:rFonts w:cs="Arial"/>
        </w:rPr>
        <w:t>provide programme governance, such as regular workshops and teleconference calls for Lead Clusters, co-ordination across Leads and other relevant organisations and support communication with key stakeholders</w:t>
      </w:r>
    </w:p>
    <w:p w:rsidR="004B77BF" w:rsidRDefault="004B77BF" w:rsidP="004B77BF">
      <w:pPr>
        <w:rPr>
          <w:rFonts w:cs="Arial"/>
          <w:sz w:val="22"/>
          <w:szCs w:val="22"/>
        </w:rPr>
      </w:pPr>
    </w:p>
    <w:p w:rsidR="004B77BF" w:rsidRDefault="004B77BF" w:rsidP="004B77BF">
      <w:pPr>
        <w:rPr>
          <w:rFonts w:cs="Arial"/>
          <w:sz w:val="22"/>
          <w:szCs w:val="22"/>
        </w:rPr>
      </w:pPr>
    </w:p>
    <w:p w:rsidR="004B77BF" w:rsidRDefault="004B77BF" w:rsidP="004B77BF">
      <w:pPr>
        <w:rPr>
          <w:rFonts w:cs="Arial"/>
          <w:sz w:val="22"/>
          <w:szCs w:val="22"/>
        </w:rPr>
      </w:pPr>
    </w:p>
    <w:p w:rsidR="004B77BF" w:rsidRDefault="004B77BF" w:rsidP="004B77BF">
      <w:pPr>
        <w:rPr>
          <w:rFonts w:cs="Arial"/>
          <w:sz w:val="22"/>
          <w:szCs w:val="22"/>
        </w:rPr>
      </w:pPr>
    </w:p>
    <w:p w:rsidR="004B77BF" w:rsidRDefault="004B77BF" w:rsidP="004B77BF">
      <w:pPr>
        <w:tabs>
          <w:tab w:val="left" w:pos="0"/>
          <w:tab w:val="num" w:pos="900"/>
        </w:tabs>
        <w:jc w:val="both"/>
        <w:rPr>
          <w:rFonts w:cs="Arial"/>
          <w:sz w:val="22"/>
          <w:szCs w:val="22"/>
        </w:rPr>
        <w:sectPr w:rsidR="004B77BF" w:rsidSect="0055588C">
          <w:headerReference w:type="default" r:id="rId8"/>
          <w:footerReference w:type="even" r:id="rId9"/>
          <w:footerReference w:type="default" r:id="rId10"/>
          <w:pgSz w:w="11906" w:h="16838"/>
          <w:pgMar w:top="1440" w:right="1797" w:bottom="1440" w:left="1797" w:header="709" w:footer="709" w:gutter="0"/>
          <w:cols w:space="708"/>
          <w:docGrid w:linePitch="360"/>
        </w:sectPr>
      </w:pPr>
    </w:p>
    <w:p w:rsidR="004B77BF" w:rsidRPr="008457B5" w:rsidRDefault="00164354" w:rsidP="004B77BF">
      <w:pPr>
        <w:tabs>
          <w:tab w:val="left" w:pos="0"/>
          <w:tab w:val="num" w:pos="900"/>
        </w:tabs>
        <w:jc w:val="both"/>
        <w:rPr>
          <w:rFonts w:cs="Arial"/>
          <w:b/>
          <w:sz w:val="22"/>
          <w:szCs w:val="22"/>
        </w:rPr>
      </w:pPr>
      <w:r>
        <w:rPr>
          <w:rFonts w:cs="Arial"/>
          <w:b/>
          <w:sz w:val="22"/>
          <w:szCs w:val="22"/>
        </w:rPr>
        <w:t>Current</w:t>
      </w:r>
      <w:r w:rsidR="004B77BF">
        <w:rPr>
          <w:rFonts w:cs="Arial"/>
          <w:b/>
          <w:sz w:val="22"/>
          <w:szCs w:val="22"/>
        </w:rPr>
        <w:t xml:space="preserve"> </w:t>
      </w:r>
      <w:r w:rsidR="004B77BF" w:rsidRPr="008457B5">
        <w:rPr>
          <w:rFonts w:cs="Arial"/>
          <w:b/>
          <w:sz w:val="22"/>
          <w:szCs w:val="22"/>
        </w:rPr>
        <w:t xml:space="preserve">SHA leads for </w:t>
      </w:r>
      <w:r w:rsidR="004B77BF">
        <w:rPr>
          <w:rFonts w:cs="Arial"/>
          <w:b/>
          <w:sz w:val="22"/>
          <w:szCs w:val="22"/>
        </w:rPr>
        <w:t>implementation packs</w:t>
      </w:r>
    </w:p>
    <w:p w:rsidR="004B77BF" w:rsidRDefault="004B77BF" w:rsidP="004B77BF">
      <w:pPr>
        <w:tabs>
          <w:tab w:val="left" w:pos="0"/>
          <w:tab w:val="num" w:pos="900"/>
        </w:tabs>
        <w:jc w:val="both"/>
        <w:rPr>
          <w:rFonts w:cs="Arial"/>
          <w:sz w:val="22"/>
          <w:szCs w:val="22"/>
        </w:rPr>
      </w:pPr>
    </w:p>
    <w:tbl>
      <w:tblPr>
        <w:tblW w:w="7400" w:type="dxa"/>
        <w:tblInd w:w="85" w:type="dxa"/>
        <w:tblLook w:val="04A0"/>
      </w:tblPr>
      <w:tblGrid>
        <w:gridCol w:w="4000"/>
        <w:gridCol w:w="1700"/>
        <w:gridCol w:w="1700"/>
      </w:tblGrid>
      <w:tr w:rsidR="004B77BF" w:rsidTr="0055588C">
        <w:trPr>
          <w:trHeight w:val="465"/>
        </w:trPr>
        <w:tc>
          <w:tcPr>
            <w:tcW w:w="4000" w:type="dxa"/>
            <w:tcBorders>
              <w:top w:val="double" w:sz="6" w:space="0" w:color="auto"/>
              <w:left w:val="double" w:sz="6" w:space="0" w:color="auto"/>
              <w:bottom w:val="nil"/>
              <w:right w:val="single" w:sz="4" w:space="0" w:color="auto"/>
            </w:tcBorders>
            <w:shd w:val="clear" w:color="auto" w:fill="auto"/>
            <w:noWrap/>
            <w:vAlign w:val="bottom"/>
            <w:hideMark/>
          </w:tcPr>
          <w:p w:rsidR="004B77BF" w:rsidRDefault="004B77BF" w:rsidP="0055588C">
            <w:pPr>
              <w:rPr>
                <w:rFonts w:cs="Arial"/>
                <w:b/>
                <w:bCs/>
                <w:sz w:val="20"/>
                <w:szCs w:val="20"/>
              </w:rPr>
            </w:pPr>
            <w:r>
              <w:rPr>
                <w:rFonts w:cs="Arial"/>
                <w:b/>
                <w:bCs/>
                <w:sz w:val="20"/>
                <w:szCs w:val="20"/>
              </w:rPr>
              <w:t>Service</w:t>
            </w:r>
          </w:p>
        </w:tc>
        <w:tc>
          <w:tcPr>
            <w:tcW w:w="1700" w:type="dxa"/>
            <w:tcBorders>
              <w:top w:val="double" w:sz="6" w:space="0" w:color="auto"/>
              <w:left w:val="nil"/>
              <w:bottom w:val="nil"/>
              <w:right w:val="single" w:sz="4" w:space="0" w:color="auto"/>
            </w:tcBorders>
            <w:shd w:val="clear" w:color="auto" w:fill="auto"/>
            <w:noWrap/>
            <w:vAlign w:val="bottom"/>
            <w:hideMark/>
          </w:tcPr>
          <w:p w:rsidR="004B77BF" w:rsidRDefault="004B77BF" w:rsidP="0055588C">
            <w:pPr>
              <w:rPr>
                <w:rFonts w:cs="Arial"/>
                <w:b/>
                <w:bCs/>
                <w:sz w:val="20"/>
                <w:szCs w:val="20"/>
              </w:rPr>
            </w:pPr>
            <w:r>
              <w:rPr>
                <w:rFonts w:cs="Arial"/>
                <w:b/>
                <w:bCs/>
                <w:sz w:val="20"/>
                <w:szCs w:val="20"/>
              </w:rPr>
              <w:t>Lead</w:t>
            </w:r>
          </w:p>
        </w:tc>
        <w:tc>
          <w:tcPr>
            <w:tcW w:w="1700" w:type="dxa"/>
            <w:tcBorders>
              <w:top w:val="double" w:sz="6" w:space="0" w:color="auto"/>
              <w:left w:val="nil"/>
              <w:bottom w:val="nil"/>
              <w:right w:val="single" w:sz="4" w:space="0" w:color="auto"/>
            </w:tcBorders>
            <w:shd w:val="clear" w:color="auto" w:fill="auto"/>
            <w:noWrap/>
            <w:vAlign w:val="bottom"/>
            <w:hideMark/>
          </w:tcPr>
          <w:p w:rsidR="004B77BF" w:rsidRDefault="004B77BF" w:rsidP="0055588C">
            <w:pPr>
              <w:rPr>
                <w:rFonts w:cs="Arial"/>
                <w:b/>
                <w:bCs/>
                <w:sz w:val="20"/>
                <w:szCs w:val="20"/>
              </w:rPr>
            </w:pPr>
            <w:r>
              <w:rPr>
                <w:rFonts w:cs="Arial"/>
                <w:b/>
                <w:bCs/>
                <w:sz w:val="20"/>
                <w:szCs w:val="20"/>
              </w:rPr>
              <w:t>Buddy</w:t>
            </w:r>
          </w:p>
        </w:tc>
      </w:tr>
      <w:tr w:rsidR="004B77BF" w:rsidTr="0055588C">
        <w:trPr>
          <w:trHeight w:val="465"/>
        </w:trPr>
        <w:tc>
          <w:tcPr>
            <w:tcW w:w="4000" w:type="dxa"/>
            <w:tcBorders>
              <w:top w:val="nil"/>
              <w:left w:val="double" w:sz="6" w:space="0" w:color="auto"/>
              <w:bottom w:val="single" w:sz="4" w:space="0" w:color="auto"/>
              <w:right w:val="single" w:sz="4" w:space="0" w:color="auto"/>
            </w:tcBorders>
            <w:shd w:val="clear" w:color="auto" w:fill="auto"/>
            <w:noWrap/>
            <w:vAlign w:val="bottom"/>
            <w:hideMark/>
          </w:tcPr>
          <w:p w:rsidR="004B77BF" w:rsidRDefault="004B77BF" w:rsidP="0055588C">
            <w:pPr>
              <w:rPr>
                <w:rFonts w:cs="Arial"/>
                <w:b/>
                <w:bCs/>
                <w:sz w:val="20"/>
                <w:szCs w:val="20"/>
              </w:rPr>
            </w:pPr>
            <w:r>
              <w:rPr>
                <w:rFonts w:cs="Arial"/>
                <w:b/>
                <w:bCs/>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b/>
                <w:bCs/>
                <w:sz w:val="20"/>
                <w:szCs w:val="20"/>
              </w:rPr>
            </w:pPr>
            <w:r>
              <w:rPr>
                <w:rFonts w:cs="Arial"/>
                <w:b/>
                <w:bCs/>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b/>
                <w:bCs/>
                <w:sz w:val="20"/>
                <w:szCs w:val="20"/>
              </w:rPr>
            </w:pPr>
            <w:r>
              <w:rPr>
                <w:rFonts w:cs="Arial"/>
                <w:b/>
                <w:bCs/>
                <w:sz w:val="20"/>
                <w:szCs w:val="20"/>
              </w:rPr>
              <w:t> </w:t>
            </w:r>
          </w:p>
        </w:tc>
      </w:tr>
      <w:tr w:rsidR="004B77BF" w:rsidTr="0055588C">
        <w:trPr>
          <w:trHeight w:val="465"/>
        </w:trPr>
        <w:tc>
          <w:tcPr>
            <w:tcW w:w="4000" w:type="dxa"/>
            <w:tcBorders>
              <w:top w:val="nil"/>
              <w:left w:val="double" w:sz="6" w:space="0" w:color="auto"/>
              <w:bottom w:val="single" w:sz="4" w:space="0" w:color="auto"/>
              <w:right w:val="single" w:sz="4" w:space="0" w:color="auto"/>
            </w:tcBorders>
            <w:shd w:val="clear" w:color="auto" w:fill="auto"/>
            <w:noWrap/>
            <w:vAlign w:val="bottom"/>
            <w:hideMark/>
          </w:tcPr>
          <w:p w:rsidR="004B77BF" w:rsidRDefault="004B77BF" w:rsidP="0055588C">
            <w:pPr>
              <w:rPr>
                <w:rFonts w:cs="Arial"/>
                <w:b/>
                <w:bCs/>
                <w:sz w:val="20"/>
                <w:szCs w:val="20"/>
              </w:rPr>
            </w:pPr>
            <w:r>
              <w:rPr>
                <w:rFonts w:cs="Arial"/>
                <w:b/>
                <w:bCs/>
                <w:sz w:val="20"/>
                <w:szCs w:val="20"/>
              </w:rPr>
              <w:t>MSK</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sz w:val="20"/>
                <w:szCs w:val="20"/>
              </w:rPr>
            </w:pPr>
            <w:r>
              <w:rPr>
                <w:rFonts w:cs="Arial"/>
                <w:sz w:val="20"/>
                <w:szCs w:val="20"/>
              </w:rPr>
              <w:t>London</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sz w:val="20"/>
                <w:szCs w:val="20"/>
              </w:rPr>
            </w:pPr>
            <w:r>
              <w:rPr>
                <w:rFonts w:cs="Arial"/>
                <w:sz w:val="20"/>
                <w:szCs w:val="20"/>
              </w:rPr>
              <w:t>SC</w:t>
            </w:r>
          </w:p>
        </w:tc>
      </w:tr>
      <w:tr w:rsidR="004B77BF" w:rsidTr="0055588C">
        <w:trPr>
          <w:trHeight w:val="465"/>
        </w:trPr>
        <w:tc>
          <w:tcPr>
            <w:tcW w:w="4000" w:type="dxa"/>
            <w:tcBorders>
              <w:top w:val="nil"/>
              <w:left w:val="double" w:sz="6" w:space="0" w:color="auto"/>
              <w:bottom w:val="single" w:sz="4" w:space="0" w:color="auto"/>
              <w:right w:val="single" w:sz="4" w:space="0" w:color="auto"/>
            </w:tcBorders>
            <w:shd w:val="clear" w:color="auto" w:fill="auto"/>
            <w:noWrap/>
            <w:vAlign w:val="bottom"/>
            <w:hideMark/>
          </w:tcPr>
          <w:p w:rsidR="004B77BF" w:rsidRDefault="004B77BF" w:rsidP="0055588C">
            <w:pPr>
              <w:rPr>
                <w:rFonts w:cs="Arial"/>
                <w:b/>
                <w:bCs/>
                <w:sz w:val="20"/>
                <w:szCs w:val="20"/>
              </w:rPr>
            </w:pPr>
            <w:r>
              <w:rPr>
                <w:rFonts w:cs="Arial"/>
                <w:b/>
                <w:bCs/>
                <w:sz w:val="20"/>
                <w:szCs w:val="20"/>
              </w:rPr>
              <w:t>Adult Hearing Services</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sz w:val="20"/>
                <w:szCs w:val="20"/>
              </w:rPr>
            </w:pPr>
            <w:r>
              <w:rPr>
                <w:rFonts w:cs="Arial"/>
                <w:sz w:val="20"/>
                <w:szCs w:val="20"/>
              </w:rPr>
              <w:t>NE</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sz w:val="20"/>
                <w:szCs w:val="20"/>
              </w:rPr>
            </w:pPr>
            <w:r>
              <w:rPr>
                <w:rFonts w:cs="Arial"/>
                <w:sz w:val="20"/>
                <w:szCs w:val="20"/>
              </w:rPr>
              <w:t>WM, SC</w:t>
            </w:r>
          </w:p>
        </w:tc>
      </w:tr>
      <w:tr w:rsidR="004B77BF" w:rsidTr="0055588C">
        <w:trPr>
          <w:trHeight w:val="465"/>
        </w:trPr>
        <w:tc>
          <w:tcPr>
            <w:tcW w:w="4000" w:type="dxa"/>
            <w:tcBorders>
              <w:top w:val="nil"/>
              <w:left w:val="double" w:sz="6" w:space="0" w:color="auto"/>
              <w:bottom w:val="single" w:sz="4" w:space="0" w:color="auto"/>
              <w:right w:val="single" w:sz="4" w:space="0" w:color="auto"/>
            </w:tcBorders>
            <w:shd w:val="clear" w:color="auto" w:fill="auto"/>
            <w:noWrap/>
            <w:vAlign w:val="bottom"/>
            <w:hideMark/>
          </w:tcPr>
          <w:p w:rsidR="004B77BF" w:rsidRDefault="004B77BF" w:rsidP="0055588C">
            <w:pPr>
              <w:rPr>
                <w:rFonts w:cs="Arial"/>
                <w:b/>
                <w:bCs/>
                <w:sz w:val="20"/>
                <w:szCs w:val="20"/>
              </w:rPr>
            </w:pPr>
            <w:r>
              <w:rPr>
                <w:rFonts w:cs="Arial"/>
                <w:b/>
                <w:bCs/>
                <w:sz w:val="20"/>
                <w:szCs w:val="20"/>
              </w:rPr>
              <w:t>Continence Services</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sz w:val="20"/>
                <w:szCs w:val="20"/>
              </w:rPr>
            </w:pPr>
            <w:r>
              <w:rPr>
                <w:rFonts w:cs="Arial"/>
                <w:sz w:val="20"/>
                <w:szCs w:val="20"/>
              </w:rPr>
              <w:t>NW</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sz w:val="20"/>
                <w:szCs w:val="20"/>
              </w:rPr>
            </w:pPr>
            <w:proofErr w:type="spellStart"/>
            <w:r>
              <w:rPr>
                <w:rFonts w:cs="Arial"/>
                <w:sz w:val="20"/>
                <w:szCs w:val="20"/>
              </w:rPr>
              <w:t>tbc</w:t>
            </w:r>
            <w:proofErr w:type="spellEnd"/>
          </w:p>
        </w:tc>
      </w:tr>
      <w:tr w:rsidR="004B77BF" w:rsidTr="0055588C">
        <w:trPr>
          <w:trHeight w:val="465"/>
        </w:trPr>
        <w:tc>
          <w:tcPr>
            <w:tcW w:w="4000" w:type="dxa"/>
            <w:tcBorders>
              <w:top w:val="nil"/>
              <w:left w:val="double" w:sz="6" w:space="0" w:color="auto"/>
              <w:bottom w:val="single" w:sz="4" w:space="0" w:color="auto"/>
              <w:right w:val="single" w:sz="4" w:space="0" w:color="auto"/>
            </w:tcBorders>
            <w:shd w:val="clear" w:color="auto" w:fill="auto"/>
            <w:noWrap/>
            <w:vAlign w:val="bottom"/>
            <w:hideMark/>
          </w:tcPr>
          <w:p w:rsidR="004B77BF" w:rsidRDefault="004B77BF" w:rsidP="0055588C">
            <w:pPr>
              <w:rPr>
                <w:rFonts w:cs="Arial"/>
                <w:b/>
                <w:bCs/>
                <w:sz w:val="20"/>
                <w:szCs w:val="20"/>
              </w:rPr>
            </w:pPr>
            <w:r>
              <w:rPr>
                <w:rFonts w:cs="Arial"/>
                <w:b/>
                <w:bCs/>
                <w:sz w:val="20"/>
                <w:szCs w:val="20"/>
              </w:rPr>
              <w:t>Diagnostic tests</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sz w:val="20"/>
                <w:szCs w:val="20"/>
              </w:rPr>
            </w:pPr>
            <w:r>
              <w:rPr>
                <w:rFonts w:cs="Arial"/>
                <w:sz w:val="20"/>
                <w:szCs w:val="20"/>
              </w:rPr>
              <w:t xml:space="preserve">SW </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sz w:val="20"/>
                <w:szCs w:val="20"/>
              </w:rPr>
            </w:pPr>
            <w:r>
              <w:rPr>
                <w:rFonts w:cs="Arial"/>
                <w:sz w:val="20"/>
                <w:szCs w:val="20"/>
              </w:rPr>
              <w:t>Y&amp;H, NE, EM</w:t>
            </w:r>
          </w:p>
        </w:tc>
      </w:tr>
      <w:tr w:rsidR="004B77BF" w:rsidTr="0055588C">
        <w:trPr>
          <w:trHeight w:val="465"/>
        </w:trPr>
        <w:tc>
          <w:tcPr>
            <w:tcW w:w="4000" w:type="dxa"/>
            <w:tcBorders>
              <w:top w:val="nil"/>
              <w:left w:val="double" w:sz="6" w:space="0" w:color="auto"/>
              <w:bottom w:val="single" w:sz="4" w:space="0" w:color="auto"/>
              <w:right w:val="single" w:sz="4" w:space="0" w:color="auto"/>
            </w:tcBorders>
            <w:shd w:val="clear" w:color="auto" w:fill="auto"/>
            <w:noWrap/>
            <w:vAlign w:val="bottom"/>
            <w:hideMark/>
          </w:tcPr>
          <w:p w:rsidR="004B77BF" w:rsidRDefault="004B77BF" w:rsidP="0055588C">
            <w:pPr>
              <w:rPr>
                <w:rFonts w:cs="Arial"/>
                <w:b/>
                <w:bCs/>
                <w:sz w:val="20"/>
                <w:szCs w:val="20"/>
              </w:rPr>
            </w:pPr>
            <w:r>
              <w:rPr>
                <w:rFonts w:cs="Arial"/>
                <w:b/>
                <w:bCs/>
                <w:sz w:val="20"/>
                <w:szCs w:val="20"/>
              </w:rPr>
              <w:t>Wheelchair Services</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sz w:val="20"/>
                <w:szCs w:val="20"/>
              </w:rPr>
            </w:pPr>
            <w:proofErr w:type="spellStart"/>
            <w:r>
              <w:rPr>
                <w:rFonts w:cs="Arial"/>
                <w:sz w:val="20"/>
                <w:szCs w:val="20"/>
              </w:rPr>
              <w:t>EoE</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sz w:val="20"/>
                <w:szCs w:val="20"/>
              </w:rPr>
            </w:pPr>
            <w:r>
              <w:rPr>
                <w:rFonts w:cs="Arial"/>
                <w:sz w:val="20"/>
                <w:szCs w:val="20"/>
              </w:rPr>
              <w:t>SW, London</w:t>
            </w:r>
          </w:p>
        </w:tc>
      </w:tr>
      <w:tr w:rsidR="004B77BF" w:rsidTr="0055588C">
        <w:trPr>
          <w:trHeight w:val="465"/>
        </w:trPr>
        <w:tc>
          <w:tcPr>
            <w:tcW w:w="4000" w:type="dxa"/>
            <w:tcBorders>
              <w:top w:val="nil"/>
              <w:left w:val="double" w:sz="6" w:space="0" w:color="auto"/>
              <w:bottom w:val="single" w:sz="4" w:space="0" w:color="auto"/>
              <w:right w:val="single" w:sz="4" w:space="0" w:color="auto"/>
            </w:tcBorders>
            <w:shd w:val="clear" w:color="auto" w:fill="auto"/>
            <w:noWrap/>
            <w:vAlign w:val="bottom"/>
            <w:hideMark/>
          </w:tcPr>
          <w:p w:rsidR="004B77BF" w:rsidRDefault="004B77BF" w:rsidP="0055588C">
            <w:pPr>
              <w:rPr>
                <w:rFonts w:cs="Arial"/>
                <w:b/>
                <w:bCs/>
                <w:sz w:val="20"/>
                <w:szCs w:val="20"/>
              </w:rPr>
            </w:pPr>
            <w:r>
              <w:rPr>
                <w:rFonts w:cs="Arial"/>
                <w:b/>
                <w:bCs/>
                <w:sz w:val="20"/>
                <w:szCs w:val="20"/>
              </w:rPr>
              <w:t>Podiatry Services</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sz w:val="20"/>
                <w:szCs w:val="20"/>
              </w:rPr>
            </w:pPr>
            <w:r>
              <w:rPr>
                <w:rFonts w:cs="Arial"/>
                <w:sz w:val="20"/>
                <w:szCs w:val="20"/>
              </w:rPr>
              <w:t>EM</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sz w:val="20"/>
                <w:szCs w:val="20"/>
              </w:rPr>
            </w:pPr>
            <w:r>
              <w:rPr>
                <w:rFonts w:cs="Arial"/>
                <w:sz w:val="20"/>
                <w:szCs w:val="20"/>
              </w:rPr>
              <w:t>SEC</w:t>
            </w:r>
          </w:p>
        </w:tc>
      </w:tr>
      <w:tr w:rsidR="004B77BF" w:rsidTr="0055588C">
        <w:trPr>
          <w:trHeight w:val="465"/>
        </w:trPr>
        <w:tc>
          <w:tcPr>
            <w:tcW w:w="4000" w:type="dxa"/>
            <w:tcBorders>
              <w:top w:val="nil"/>
              <w:left w:val="double" w:sz="6" w:space="0" w:color="auto"/>
              <w:bottom w:val="single" w:sz="4" w:space="0" w:color="auto"/>
              <w:right w:val="single" w:sz="4" w:space="0" w:color="auto"/>
            </w:tcBorders>
            <w:shd w:val="clear" w:color="auto" w:fill="auto"/>
            <w:noWrap/>
            <w:vAlign w:val="bottom"/>
            <w:hideMark/>
          </w:tcPr>
          <w:p w:rsidR="004B77BF" w:rsidRDefault="004B77BF" w:rsidP="0055588C">
            <w:pPr>
              <w:rPr>
                <w:rFonts w:cs="Arial"/>
                <w:b/>
                <w:bCs/>
                <w:sz w:val="20"/>
                <w:szCs w:val="20"/>
              </w:rPr>
            </w:pPr>
            <w:r>
              <w:rPr>
                <w:rFonts w:cs="Arial"/>
                <w:b/>
                <w:bCs/>
                <w:sz w:val="20"/>
                <w:szCs w:val="20"/>
              </w:rPr>
              <w:t>Venus Leg ulcer &amp; wound healing</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sz w:val="20"/>
                <w:szCs w:val="20"/>
              </w:rPr>
            </w:pPr>
            <w:r>
              <w:rPr>
                <w:rFonts w:cs="Arial"/>
                <w:sz w:val="20"/>
                <w:szCs w:val="20"/>
              </w:rPr>
              <w:t>SEC</w:t>
            </w:r>
          </w:p>
        </w:tc>
        <w:tc>
          <w:tcPr>
            <w:tcW w:w="1700" w:type="dxa"/>
            <w:tcBorders>
              <w:top w:val="nil"/>
              <w:left w:val="nil"/>
              <w:bottom w:val="single" w:sz="4" w:space="0" w:color="auto"/>
              <w:right w:val="single" w:sz="4" w:space="0" w:color="auto"/>
            </w:tcBorders>
            <w:shd w:val="clear" w:color="auto" w:fill="auto"/>
            <w:noWrap/>
            <w:vAlign w:val="bottom"/>
            <w:hideMark/>
          </w:tcPr>
          <w:p w:rsidR="004B77BF" w:rsidRDefault="004B77BF" w:rsidP="0055588C">
            <w:pPr>
              <w:rPr>
                <w:rFonts w:cs="Arial"/>
                <w:sz w:val="20"/>
                <w:szCs w:val="20"/>
              </w:rPr>
            </w:pPr>
            <w:proofErr w:type="spellStart"/>
            <w:r>
              <w:rPr>
                <w:rFonts w:cs="Arial"/>
                <w:sz w:val="20"/>
                <w:szCs w:val="20"/>
              </w:rPr>
              <w:t>tbc</w:t>
            </w:r>
            <w:proofErr w:type="spellEnd"/>
          </w:p>
        </w:tc>
      </w:tr>
      <w:tr w:rsidR="004B77BF" w:rsidTr="0055588C">
        <w:trPr>
          <w:trHeight w:val="465"/>
        </w:trPr>
        <w:tc>
          <w:tcPr>
            <w:tcW w:w="4000" w:type="dxa"/>
            <w:tcBorders>
              <w:top w:val="nil"/>
              <w:left w:val="double" w:sz="6" w:space="0" w:color="auto"/>
              <w:bottom w:val="double" w:sz="6" w:space="0" w:color="auto"/>
              <w:right w:val="single" w:sz="4" w:space="0" w:color="auto"/>
            </w:tcBorders>
            <w:shd w:val="clear" w:color="auto" w:fill="auto"/>
            <w:noWrap/>
            <w:vAlign w:val="bottom"/>
            <w:hideMark/>
          </w:tcPr>
          <w:p w:rsidR="004B77BF" w:rsidRDefault="004B77BF" w:rsidP="0055588C">
            <w:pPr>
              <w:rPr>
                <w:rFonts w:cs="Arial"/>
                <w:b/>
                <w:bCs/>
                <w:sz w:val="20"/>
                <w:szCs w:val="20"/>
              </w:rPr>
            </w:pPr>
            <w:r>
              <w:rPr>
                <w:rFonts w:cs="Arial"/>
                <w:b/>
                <w:bCs/>
                <w:sz w:val="20"/>
                <w:szCs w:val="20"/>
              </w:rPr>
              <w:t>Primary Care Psychological Therapies</w:t>
            </w:r>
          </w:p>
        </w:tc>
        <w:tc>
          <w:tcPr>
            <w:tcW w:w="1700" w:type="dxa"/>
            <w:tcBorders>
              <w:top w:val="nil"/>
              <w:left w:val="nil"/>
              <w:bottom w:val="double" w:sz="6" w:space="0" w:color="auto"/>
              <w:right w:val="single" w:sz="4" w:space="0" w:color="auto"/>
            </w:tcBorders>
            <w:shd w:val="clear" w:color="auto" w:fill="auto"/>
            <w:noWrap/>
            <w:vAlign w:val="bottom"/>
            <w:hideMark/>
          </w:tcPr>
          <w:p w:rsidR="004B77BF" w:rsidRDefault="004B77BF" w:rsidP="0055588C">
            <w:pPr>
              <w:rPr>
                <w:rFonts w:cs="Arial"/>
                <w:sz w:val="20"/>
                <w:szCs w:val="20"/>
              </w:rPr>
            </w:pPr>
            <w:r>
              <w:rPr>
                <w:rFonts w:cs="Arial"/>
                <w:sz w:val="20"/>
                <w:szCs w:val="20"/>
              </w:rPr>
              <w:t>WM</w:t>
            </w:r>
          </w:p>
        </w:tc>
        <w:tc>
          <w:tcPr>
            <w:tcW w:w="1700" w:type="dxa"/>
            <w:tcBorders>
              <w:top w:val="nil"/>
              <w:left w:val="nil"/>
              <w:bottom w:val="double" w:sz="6" w:space="0" w:color="auto"/>
              <w:right w:val="single" w:sz="4" w:space="0" w:color="auto"/>
            </w:tcBorders>
            <w:shd w:val="clear" w:color="auto" w:fill="auto"/>
            <w:noWrap/>
            <w:vAlign w:val="bottom"/>
            <w:hideMark/>
          </w:tcPr>
          <w:p w:rsidR="004B77BF" w:rsidRDefault="004B77BF" w:rsidP="0055588C">
            <w:pPr>
              <w:rPr>
                <w:rFonts w:cs="Arial"/>
                <w:sz w:val="20"/>
                <w:szCs w:val="20"/>
              </w:rPr>
            </w:pPr>
            <w:r>
              <w:rPr>
                <w:rFonts w:cs="Arial"/>
                <w:sz w:val="20"/>
                <w:szCs w:val="20"/>
              </w:rPr>
              <w:t>SW</w:t>
            </w:r>
          </w:p>
        </w:tc>
      </w:tr>
    </w:tbl>
    <w:p w:rsidR="004B77BF" w:rsidRPr="00901F27" w:rsidRDefault="004B77BF" w:rsidP="004B77BF">
      <w:pPr>
        <w:tabs>
          <w:tab w:val="left" w:pos="0"/>
          <w:tab w:val="num" w:pos="900"/>
        </w:tabs>
        <w:jc w:val="both"/>
        <w:rPr>
          <w:rFonts w:cs="Arial"/>
          <w:sz w:val="22"/>
          <w:szCs w:val="22"/>
        </w:rPr>
      </w:pPr>
    </w:p>
    <w:p w:rsidR="004B77BF" w:rsidRPr="00CB1B29" w:rsidRDefault="004B77BF" w:rsidP="00CB1B29">
      <w:pPr>
        <w:spacing w:after="240" w:line="276" w:lineRule="auto"/>
        <w:ind w:left="709" w:hanging="709"/>
        <w:rPr>
          <w:rFonts w:eastAsiaTheme="minorHAnsi" w:cs="Arial"/>
          <w:sz w:val="22"/>
          <w:szCs w:val="22"/>
          <w:lang w:eastAsia="en-US"/>
        </w:rPr>
      </w:pPr>
    </w:p>
    <w:p w:rsidR="007203AB" w:rsidRDefault="007203AB" w:rsidP="007203AB"/>
    <w:p w:rsidR="007203AB" w:rsidRDefault="007203AB" w:rsidP="007203AB"/>
    <w:p w:rsidR="007203AB" w:rsidRDefault="007203AB" w:rsidP="007203AB"/>
    <w:p w:rsidR="007203AB" w:rsidRDefault="007203AB" w:rsidP="007203AB"/>
    <w:p w:rsidR="006A6CD0" w:rsidRPr="003144E1" w:rsidRDefault="006A6CD0" w:rsidP="003144E1">
      <w:pPr>
        <w:spacing w:after="240" w:line="276" w:lineRule="auto"/>
        <w:rPr>
          <w:rFonts w:cs="Arial"/>
        </w:rPr>
      </w:pPr>
    </w:p>
    <w:sectPr w:rsidR="006A6CD0" w:rsidRPr="003144E1" w:rsidSect="00F318A5">
      <w:headerReference w:type="first" r:id="rId11"/>
      <w:pgSz w:w="11900" w:h="16840"/>
      <w:pgMar w:top="1440" w:right="720" w:bottom="1440" w:left="720" w:header="0" w:footer="54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F42" w:rsidRDefault="009C0F42">
      <w:r>
        <w:separator/>
      </w:r>
    </w:p>
  </w:endnote>
  <w:endnote w:type="continuationSeparator" w:id="0">
    <w:p w:rsidR="009C0F42" w:rsidRDefault="009C0F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F42" w:rsidRDefault="00D850DD" w:rsidP="0055588C">
    <w:pPr>
      <w:pStyle w:val="Footer"/>
      <w:framePr w:wrap="around" w:vAnchor="text" w:hAnchor="margin" w:xAlign="right" w:y="1"/>
      <w:rPr>
        <w:rStyle w:val="PageNumber"/>
      </w:rPr>
    </w:pPr>
    <w:r>
      <w:rPr>
        <w:rStyle w:val="PageNumber"/>
      </w:rPr>
      <w:fldChar w:fldCharType="begin"/>
    </w:r>
    <w:r w:rsidR="009C0F42">
      <w:rPr>
        <w:rStyle w:val="PageNumber"/>
      </w:rPr>
      <w:instrText xml:space="preserve">PAGE  </w:instrText>
    </w:r>
    <w:r>
      <w:rPr>
        <w:rStyle w:val="PageNumber"/>
      </w:rPr>
      <w:fldChar w:fldCharType="end"/>
    </w:r>
  </w:p>
  <w:p w:rsidR="009C0F42" w:rsidRDefault="009C0F42" w:rsidP="005558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F42" w:rsidRDefault="00D850DD" w:rsidP="0055588C">
    <w:pPr>
      <w:pStyle w:val="Footer"/>
      <w:framePr w:wrap="around" w:vAnchor="text" w:hAnchor="margin" w:xAlign="right" w:y="1"/>
      <w:rPr>
        <w:rStyle w:val="PageNumber"/>
      </w:rPr>
    </w:pPr>
    <w:r>
      <w:rPr>
        <w:rStyle w:val="PageNumber"/>
      </w:rPr>
      <w:fldChar w:fldCharType="begin"/>
    </w:r>
    <w:r w:rsidR="009C0F42">
      <w:rPr>
        <w:rStyle w:val="PageNumber"/>
      </w:rPr>
      <w:instrText xml:space="preserve">PAGE  </w:instrText>
    </w:r>
    <w:r>
      <w:rPr>
        <w:rStyle w:val="PageNumber"/>
      </w:rPr>
      <w:fldChar w:fldCharType="separate"/>
    </w:r>
    <w:r w:rsidR="00E3023C">
      <w:rPr>
        <w:rStyle w:val="PageNumber"/>
        <w:noProof/>
      </w:rPr>
      <w:t>1</w:t>
    </w:r>
    <w:r>
      <w:rPr>
        <w:rStyle w:val="PageNumber"/>
      </w:rPr>
      <w:fldChar w:fldCharType="end"/>
    </w:r>
  </w:p>
  <w:p w:rsidR="009C0F42" w:rsidRDefault="009C0F42" w:rsidP="005558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F42" w:rsidRDefault="009C0F42">
      <w:r>
        <w:separator/>
      </w:r>
    </w:p>
  </w:footnote>
  <w:footnote w:type="continuationSeparator" w:id="0">
    <w:p w:rsidR="009C0F42" w:rsidRDefault="009C0F42">
      <w:r>
        <w:continuationSeparator/>
      </w:r>
    </w:p>
  </w:footnote>
  <w:footnote w:id="1">
    <w:p w:rsidR="009C0F42" w:rsidRPr="004B77BF" w:rsidRDefault="009C0F42">
      <w:pPr>
        <w:pStyle w:val="FootnoteText"/>
        <w:rPr>
          <w:rFonts w:ascii="Arial" w:hAnsi="Arial" w:cs="Arial"/>
        </w:rPr>
      </w:pPr>
      <w:r w:rsidRPr="004B77BF">
        <w:rPr>
          <w:rStyle w:val="FootnoteReference"/>
          <w:rFonts w:ascii="Arial" w:hAnsi="Arial" w:cs="Arial"/>
        </w:rPr>
        <w:footnoteRef/>
      </w:r>
      <w:r w:rsidRPr="004B77BF">
        <w:rPr>
          <w:rFonts w:ascii="Arial" w:hAnsi="Arial" w:cs="Arial"/>
        </w:rPr>
        <w:t xml:space="preserve"> DH guidance for the development of implementation packs is at appendix A, including expected deliverables, time lines and regions leading on their development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F42" w:rsidRPr="00CE3D80" w:rsidRDefault="009C0F42" w:rsidP="0055588C">
    <w:pPr>
      <w:pStyle w:val="Header"/>
      <w:jc w:val="center"/>
      <w:rPr>
        <w:b/>
        <w:b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F42" w:rsidRDefault="009C0F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BA010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860A0"/>
    <w:multiLevelType w:val="hybridMultilevel"/>
    <w:tmpl w:val="398865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32F440F"/>
    <w:multiLevelType w:val="hybridMultilevel"/>
    <w:tmpl w:val="7712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CF52DC"/>
    <w:multiLevelType w:val="hybridMultilevel"/>
    <w:tmpl w:val="FA1C8B9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nsid w:val="0A0041C6"/>
    <w:multiLevelType w:val="multilevel"/>
    <w:tmpl w:val="1AFA469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A6865D3"/>
    <w:multiLevelType w:val="hybridMultilevel"/>
    <w:tmpl w:val="5DAA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E51CC7"/>
    <w:multiLevelType w:val="hybridMultilevel"/>
    <w:tmpl w:val="E34671C8"/>
    <w:lvl w:ilvl="0" w:tplc="0809000F">
      <w:start w:val="1"/>
      <w:numFmt w:val="decimal"/>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nsid w:val="0E7855B2"/>
    <w:multiLevelType w:val="hybridMultilevel"/>
    <w:tmpl w:val="AB5ED006"/>
    <w:lvl w:ilvl="0" w:tplc="50986F78">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nsid w:val="10914B4F"/>
    <w:multiLevelType w:val="hybridMultilevel"/>
    <w:tmpl w:val="9FE4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932018"/>
    <w:multiLevelType w:val="hybridMultilevel"/>
    <w:tmpl w:val="F1F4AF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1FB17E3B"/>
    <w:multiLevelType w:val="hybridMultilevel"/>
    <w:tmpl w:val="EBACBC22"/>
    <w:lvl w:ilvl="0" w:tplc="08090001">
      <w:start w:val="1"/>
      <w:numFmt w:val="bullet"/>
      <w:lvlText w:val=""/>
      <w:lvlJc w:val="left"/>
      <w:pPr>
        <w:ind w:left="2127" w:hanging="360"/>
      </w:pPr>
      <w:rPr>
        <w:rFonts w:ascii="Symbol" w:hAnsi="Symbol" w:hint="default"/>
      </w:rPr>
    </w:lvl>
    <w:lvl w:ilvl="1" w:tplc="08090003" w:tentative="1">
      <w:start w:val="1"/>
      <w:numFmt w:val="bullet"/>
      <w:lvlText w:val="o"/>
      <w:lvlJc w:val="left"/>
      <w:pPr>
        <w:ind w:left="2847" w:hanging="360"/>
      </w:pPr>
      <w:rPr>
        <w:rFonts w:ascii="Courier New" w:hAnsi="Courier New" w:cs="Courier New" w:hint="default"/>
      </w:rPr>
    </w:lvl>
    <w:lvl w:ilvl="2" w:tplc="08090005" w:tentative="1">
      <w:start w:val="1"/>
      <w:numFmt w:val="bullet"/>
      <w:lvlText w:val=""/>
      <w:lvlJc w:val="left"/>
      <w:pPr>
        <w:ind w:left="3567" w:hanging="360"/>
      </w:pPr>
      <w:rPr>
        <w:rFonts w:ascii="Wingdings" w:hAnsi="Wingdings" w:hint="default"/>
      </w:rPr>
    </w:lvl>
    <w:lvl w:ilvl="3" w:tplc="08090001" w:tentative="1">
      <w:start w:val="1"/>
      <w:numFmt w:val="bullet"/>
      <w:lvlText w:val=""/>
      <w:lvlJc w:val="left"/>
      <w:pPr>
        <w:ind w:left="4287" w:hanging="360"/>
      </w:pPr>
      <w:rPr>
        <w:rFonts w:ascii="Symbol" w:hAnsi="Symbol" w:hint="default"/>
      </w:rPr>
    </w:lvl>
    <w:lvl w:ilvl="4" w:tplc="08090003" w:tentative="1">
      <w:start w:val="1"/>
      <w:numFmt w:val="bullet"/>
      <w:lvlText w:val="o"/>
      <w:lvlJc w:val="left"/>
      <w:pPr>
        <w:ind w:left="5007" w:hanging="360"/>
      </w:pPr>
      <w:rPr>
        <w:rFonts w:ascii="Courier New" w:hAnsi="Courier New" w:cs="Courier New" w:hint="default"/>
      </w:rPr>
    </w:lvl>
    <w:lvl w:ilvl="5" w:tplc="08090005" w:tentative="1">
      <w:start w:val="1"/>
      <w:numFmt w:val="bullet"/>
      <w:lvlText w:val=""/>
      <w:lvlJc w:val="left"/>
      <w:pPr>
        <w:ind w:left="5727" w:hanging="360"/>
      </w:pPr>
      <w:rPr>
        <w:rFonts w:ascii="Wingdings" w:hAnsi="Wingdings" w:hint="default"/>
      </w:rPr>
    </w:lvl>
    <w:lvl w:ilvl="6" w:tplc="08090001" w:tentative="1">
      <w:start w:val="1"/>
      <w:numFmt w:val="bullet"/>
      <w:lvlText w:val=""/>
      <w:lvlJc w:val="left"/>
      <w:pPr>
        <w:ind w:left="6447" w:hanging="360"/>
      </w:pPr>
      <w:rPr>
        <w:rFonts w:ascii="Symbol" w:hAnsi="Symbol" w:hint="default"/>
      </w:rPr>
    </w:lvl>
    <w:lvl w:ilvl="7" w:tplc="08090003" w:tentative="1">
      <w:start w:val="1"/>
      <w:numFmt w:val="bullet"/>
      <w:lvlText w:val="o"/>
      <w:lvlJc w:val="left"/>
      <w:pPr>
        <w:ind w:left="7167" w:hanging="360"/>
      </w:pPr>
      <w:rPr>
        <w:rFonts w:ascii="Courier New" w:hAnsi="Courier New" w:cs="Courier New" w:hint="default"/>
      </w:rPr>
    </w:lvl>
    <w:lvl w:ilvl="8" w:tplc="08090005" w:tentative="1">
      <w:start w:val="1"/>
      <w:numFmt w:val="bullet"/>
      <w:lvlText w:val=""/>
      <w:lvlJc w:val="left"/>
      <w:pPr>
        <w:ind w:left="7887" w:hanging="360"/>
      </w:pPr>
      <w:rPr>
        <w:rFonts w:ascii="Wingdings" w:hAnsi="Wingdings" w:hint="default"/>
      </w:rPr>
    </w:lvl>
  </w:abstractNum>
  <w:abstractNum w:abstractNumId="11">
    <w:nsid w:val="25E04569"/>
    <w:multiLevelType w:val="hybridMultilevel"/>
    <w:tmpl w:val="3ADEB124"/>
    <w:lvl w:ilvl="0" w:tplc="A7DC3626">
      <w:start w:val="1"/>
      <w:numFmt w:val="bullet"/>
      <w:lvlText w:val=""/>
      <w:lvlJc w:val="left"/>
      <w:pPr>
        <w:tabs>
          <w:tab w:val="num" w:pos="1447"/>
        </w:tabs>
        <w:ind w:left="1447" w:hanging="360"/>
      </w:pPr>
      <w:rPr>
        <w:rFonts w:ascii="Symbol" w:hAnsi="Symbol" w:hint="default"/>
      </w:rPr>
    </w:lvl>
    <w:lvl w:ilvl="1" w:tplc="08090003" w:tentative="1">
      <w:start w:val="1"/>
      <w:numFmt w:val="bullet"/>
      <w:lvlText w:val="o"/>
      <w:lvlJc w:val="left"/>
      <w:pPr>
        <w:tabs>
          <w:tab w:val="num" w:pos="2167"/>
        </w:tabs>
        <w:ind w:left="2167" w:hanging="360"/>
      </w:pPr>
      <w:rPr>
        <w:rFonts w:ascii="Courier New" w:hAnsi="Courier New" w:cs="Courier New" w:hint="default"/>
      </w:rPr>
    </w:lvl>
    <w:lvl w:ilvl="2" w:tplc="08090005" w:tentative="1">
      <w:start w:val="1"/>
      <w:numFmt w:val="bullet"/>
      <w:lvlText w:val=""/>
      <w:lvlJc w:val="left"/>
      <w:pPr>
        <w:tabs>
          <w:tab w:val="num" w:pos="2887"/>
        </w:tabs>
        <w:ind w:left="2887" w:hanging="360"/>
      </w:pPr>
      <w:rPr>
        <w:rFonts w:ascii="Wingdings" w:hAnsi="Wingdings" w:hint="default"/>
      </w:rPr>
    </w:lvl>
    <w:lvl w:ilvl="3" w:tplc="08090001" w:tentative="1">
      <w:start w:val="1"/>
      <w:numFmt w:val="bullet"/>
      <w:lvlText w:val=""/>
      <w:lvlJc w:val="left"/>
      <w:pPr>
        <w:tabs>
          <w:tab w:val="num" w:pos="3607"/>
        </w:tabs>
        <w:ind w:left="3607" w:hanging="360"/>
      </w:pPr>
      <w:rPr>
        <w:rFonts w:ascii="Symbol" w:hAnsi="Symbol" w:hint="default"/>
      </w:rPr>
    </w:lvl>
    <w:lvl w:ilvl="4" w:tplc="08090003" w:tentative="1">
      <w:start w:val="1"/>
      <w:numFmt w:val="bullet"/>
      <w:lvlText w:val="o"/>
      <w:lvlJc w:val="left"/>
      <w:pPr>
        <w:tabs>
          <w:tab w:val="num" w:pos="4327"/>
        </w:tabs>
        <w:ind w:left="4327" w:hanging="360"/>
      </w:pPr>
      <w:rPr>
        <w:rFonts w:ascii="Courier New" w:hAnsi="Courier New" w:cs="Courier New" w:hint="default"/>
      </w:rPr>
    </w:lvl>
    <w:lvl w:ilvl="5" w:tplc="08090005" w:tentative="1">
      <w:start w:val="1"/>
      <w:numFmt w:val="bullet"/>
      <w:lvlText w:val=""/>
      <w:lvlJc w:val="left"/>
      <w:pPr>
        <w:tabs>
          <w:tab w:val="num" w:pos="5047"/>
        </w:tabs>
        <w:ind w:left="5047" w:hanging="360"/>
      </w:pPr>
      <w:rPr>
        <w:rFonts w:ascii="Wingdings" w:hAnsi="Wingdings" w:hint="default"/>
      </w:rPr>
    </w:lvl>
    <w:lvl w:ilvl="6" w:tplc="08090001" w:tentative="1">
      <w:start w:val="1"/>
      <w:numFmt w:val="bullet"/>
      <w:lvlText w:val=""/>
      <w:lvlJc w:val="left"/>
      <w:pPr>
        <w:tabs>
          <w:tab w:val="num" w:pos="5767"/>
        </w:tabs>
        <w:ind w:left="5767" w:hanging="360"/>
      </w:pPr>
      <w:rPr>
        <w:rFonts w:ascii="Symbol" w:hAnsi="Symbol" w:hint="default"/>
      </w:rPr>
    </w:lvl>
    <w:lvl w:ilvl="7" w:tplc="08090003" w:tentative="1">
      <w:start w:val="1"/>
      <w:numFmt w:val="bullet"/>
      <w:lvlText w:val="o"/>
      <w:lvlJc w:val="left"/>
      <w:pPr>
        <w:tabs>
          <w:tab w:val="num" w:pos="6487"/>
        </w:tabs>
        <w:ind w:left="6487" w:hanging="360"/>
      </w:pPr>
      <w:rPr>
        <w:rFonts w:ascii="Courier New" w:hAnsi="Courier New" w:cs="Courier New" w:hint="default"/>
      </w:rPr>
    </w:lvl>
    <w:lvl w:ilvl="8" w:tplc="08090005" w:tentative="1">
      <w:start w:val="1"/>
      <w:numFmt w:val="bullet"/>
      <w:lvlText w:val=""/>
      <w:lvlJc w:val="left"/>
      <w:pPr>
        <w:tabs>
          <w:tab w:val="num" w:pos="7207"/>
        </w:tabs>
        <w:ind w:left="7207" w:hanging="360"/>
      </w:pPr>
      <w:rPr>
        <w:rFonts w:ascii="Wingdings" w:hAnsi="Wingdings" w:hint="default"/>
      </w:rPr>
    </w:lvl>
  </w:abstractNum>
  <w:abstractNum w:abstractNumId="12">
    <w:nsid w:val="26C467AF"/>
    <w:multiLevelType w:val="hybridMultilevel"/>
    <w:tmpl w:val="C812163A"/>
    <w:lvl w:ilvl="0" w:tplc="A7DC362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281319C8"/>
    <w:multiLevelType w:val="hybridMultilevel"/>
    <w:tmpl w:val="81DA2D6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317E63FC"/>
    <w:multiLevelType w:val="multilevel"/>
    <w:tmpl w:val="7A64EB96"/>
    <w:lvl w:ilvl="0">
      <w:start w:val="1"/>
      <w:numFmt w:val="decimal"/>
      <w:pStyle w:val="Heading1"/>
      <w:lvlText w:val="%1."/>
      <w:lvlJc w:val="left"/>
      <w:pPr>
        <w:tabs>
          <w:tab w:val="num" w:pos="798"/>
        </w:tabs>
        <w:ind w:left="798" w:hanging="798"/>
      </w:pPr>
      <w:rPr>
        <w:rFonts w:hint="default"/>
      </w:rPr>
    </w:lvl>
    <w:lvl w:ilvl="1">
      <w:start w:val="1"/>
      <w:numFmt w:val="decimal"/>
      <w:pStyle w:val="Heading2"/>
      <w:lvlText w:val="%1.%2"/>
      <w:lvlJc w:val="left"/>
      <w:pPr>
        <w:tabs>
          <w:tab w:val="num" w:pos="798"/>
        </w:tabs>
        <w:ind w:left="798" w:hanging="798"/>
      </w:pPr>
      <w:rPr>
        <w:rFonts w:hint="default"/>
      </w:rPr>
    </w:lvl>
    <w:lvl w:ilvl="2">
      <w:start w:val="1"/>
      <w:numFmt w:val="decimal"/>
      <w:pStyle w:val="Heading3"/>
      <w:lvlText w:val="%1.%2.%3"/>
      <w:lvlJc w:val="left"/>
      <w:pPr>
        <w:tabs>
          <w:tab w:val="num" w:pos="798"/>
        </w:tabs>
        <w:ind w:left="798" w:hanging="798"/>
      </w:pPr>
      <w:rPr>
        <w:rFonts w:hint="default"/>
      </w:rPr>
    </w:lvl>
    <w:lvl w:ilvl="3">
      <w:start w:val="1"/>
      <w:numFmt w:val="lowerLetter"/>
      <w:pStyle w:val="Heading4"/>
      <w:lvlText w:val="%4."/>
      <w:lvlJc w:val="left"/>
      <w:pPr>
        <w:tabs>
          <w:tab w:val="num" w:pos="798"/>
        </w:tabs>
        <w:ind w:left="798" w:hanging="798"/>
      </w:pPr>
      <w:rPr>
        <w:rFonts w:hint="default"/>
        <w:caps w:val="0"/>
      </w:rPr>
    </w:lvl>
    <w:lvl w:ilvl="4">
      <w:start w:val="1"/>
      <w:numFmt w:val="lowerRoman"/>
      <w:pStyle w:val="Heading5"/>
      <w:lvlText w:val="%5."/>
      <w:lvlJc w:val="left"/>
      <w:pPr>
        <w:tabs>
          <w:tab w:val="num" w:pos="798"/>
        </w:tabs>
        <w:ind w:left="798" w:hanging="798"/>
      </w:pPr>
      <w:rPr>
        <w:rFonts w:hint="default"/>
        <w:caps w:val="0"/>
      </w:rPr>
    </w:lvl>
    <w:lvl w:ilvl="5">
      <w:start w:val="1"/>
      <w:numFmt w:val="upperLetter"/>
      <w:pStyle w:val="Heading6"/>
      <w:lvlText w:val="APPENDIX %6:"/>
      <w:lvlJc w:val="left"/>
      <w:pPr>
        <w:tabs>
          <w:tab w:val="num" w:pos="1440"/>
        </w:tabs>
        <w:ind w:left="1440" w:hanging="1440"/>
      </w:pPr>
      <w:rPr>
        <w:rFonts w:hint="default"/>
        <w:caps w:val="0"/>
      </w:rPr>
    </w:lvl>
    <w:lvl w:ilvl="6">
      <w:start w:val="1"/>
      <w:numFmt w:val="decimal"/>
      <w:pStyle w:val="Heading7"/>
      <w:lvlText w:val="%6.%7"/>
      <w:lvlJc w:val="left"/>
      <w:pPr>
        <w:tabs>
          <w:tab w:val="num" w:pos="798"/>
        </w:tabs>
        <w:ind w:left="798" w:hanging="798"/>
      </w:pPr>
      <w:rPr>
        <w:rFonts w:hint="default"/>
      </w:rPr>
    </w:lvl>
    <w:lvl w:ilvl="7">
      <w:start w:val="1"/>
      <w:numFmt w:val="decimal"/>
      <w:pStyle w:val="Heading8"/>
      <w:lvlText w:val="%6.%7.%8"/>
      <w:lvlJc w:val="left"/>
      <w:pPr>
        <w:tabs>
          <w:tab w:val="num" w:pos="798"/>
        </w:tabs>
        <w:ind w:left="798" w:hanging="798"/>
      </w:pPr>
      <w:rPr>
        <w:rFonts w:hint="default"/>
      </w:rPr>
    </w:lvl>
    <w:lvl w:ilvl="8">
      <w:start w:val="1"/>
      <w:numFmt w:val="lowerLetter"/>
      <w:pStyle w:val="Heading9"/>
      <w:lvlText w:val="%9."/>
      <w:lvlJc w:val="left"/>
      <w:pPr>
        <w:tabs>
          <w:tab w:val="num" w:pos="798"/>
        </w:tabs>
        <w:ind w:left="798" w:hanging="798"/>
      </w:pPr>
      <w:rPr>
        <w:rFonts w:hint="default"/>
        <w:caps w:val="0"/>
      </w:rPr>
    </w:lvl>
  </w:abstractNum>
  <w:abstractNum w:abstractNumId="15">
    <w:nsid w:val="36384D6F"/>
    <w:multiLevelType w:val="hybridMultilevel"/>
    <w:tmpl w:val="BF5A695C"/>
    <w:lvl w:ilvl="0" w:tplc="A7DC3626">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nsid w:val="419B1598"/>
    <w:multiLevelType w:val="hybridMultilevel"/>
    <w:tmpl w:val="471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FC1FEB"/>
    <w:multiLevelType w:val="hybridMultilevel"/>
    <w:tmpl w:val="757C820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nsid w:val="42B9032A"/>
    <w:multiLevelType w:val="hybridMultilevel"/>
    <w:tmpl w:val="D2AA4D1E"/>
    <w:lvl w:ilvl="0" w:tplc="1A745BB0">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3846C1B"/>
    <w:multiLevelType w:val="hybridMultilevel"/>
    <w:tmpl w:val="24008D4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0">
    <w:nsid w:val="4A556935"/>
    <w:multiLevelType w:val="hybridMultilevel"/>
    <w:tmpl w:val="C5168A18"/>
    <w:lvl w:ilvl="0" w:tplc="A7DC362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nsid w:val="4CB27E4C"/>
    <w:multiLevelType w:val="hybridMultilevel"/>
    <w:tmpl w:val="5D3A12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8D9496B"/>
    <w:multiLevelType w:val="hybridMultilevel"/>
    <w:tmpl w:val="BC5CC7C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nsid w:val="68165952"/>
    <w:multiLevelType w:val="hybridMultilevel"/>
    <w:tmpl w:val="D464BBE8"/>
    <w:lvl w:ilvl="0" w:tplc="A7DC362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nsid w:val="6AA21D0D"/>
    <w:multiLevelType w:val="hybridMultilevel"/>
    <w:tmpl w:val="87A09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BBA1946"/>
    <w:multiLevelType w:val="hybridMultilevel"/>
    <w:tmpl w:val="A7F6F14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nsid w:val="6D285742"/>
    <w:multiLevelType w:val="hybridMultilevel"/>
    <w:tmpl w:val="6888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582801"/>
    <w:multiLevelType w:val="hybridMultilevel"/>
    <w:tmpl w:val="D9E012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792625B"/>
    <w:multiLevelType w:val="hybridMultilevel"/>
    <w:tmpl w:val="3410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914FBC"/>
    <w:multiLevelType w:val="hybridMultilevel"/>
    <w:tmpl w:val="29EE1D80"/>
    <w:lvl w:ilvl="0" w:tplc="0809000F">
      <w:start w:val="1"/>
      <w:numFmt w:val="decimal"/>
      <w:lvlText w:val="%1."/>
      <w:lvlJc w:val="left"/>
      <w:pPr>
        <w:tabs>
          <w:tab w:val="num" w:pos="972"/>
        </w:tabs>
        <w:ind w:left="972" w:hanging="360"/>
      </w:pPr>
    </w:lvl>
    <w:lvl w:ilvl="1" w:tplc="08090019" w:tentative="1">
      <w:start w:val="1"/>
      <w:numFmt w:val="lowerLetter"/>
      <w:lvlText w:val="%2."/>
      <w:lvlJc w:val="left"/>
      <w:pPr>
        <w:tabs>
          <w:tab w:val="num" w:pos="1692"/>
        </w:tabs>
        <w:ind w:left="1692" w:hanging="360"/>
      </w:pPr>
    </w:lvl>
    <w:lvl w:ilvl="2" w:tplc="0809001B" w:tentative="1">
      <w:start w:val="1"/>
      <w:numFmt w:val="lowerRoman"/>
      <w:lvlText w:val="%3."/>
      <w:lvlJc w:val="right"/>
      <w:pPr>
        <w:tabs>
          <w:tab w:val="num" w:pos="2412"/>
        </w:tabs>
        <w:ind w:left="2412" w:hanging="180"/>
      </w:pPr>
    </w:lvl>
    <w:lvl w:ilvl="3" w:tplc="0809000F" w:tentative="1">
      <w:start w:val="1"/>
      <w:numFmt w:val="decimal"/>
      <w:lvlText w:val="%4."/>
      <w:lvlJc w:val="left"/>
      <w:pPr>
        <w:tabs>
          <w:tab w:val="num" w:pos="3132"/>
        </w:tabs>
        <w:ind w:left="3132" w:hanging="360"/>
      </w:pPr>
    </w:lvl>
    <w:lvl w:ilvl="4" w:tplc="08090019" w:tentative="1">
      <w:start w:val="1"/>
      <w:numFmt w:val="lowerLetter"/>
      <w:lvlText w:val="%5."/>
      <w:lvlJc w:val="left"/>
      <w:pPr>
        <w:tabs>
          <w:tab w:val="num" w:pos="3852"/>
        </w:tabs>
        <w:ind w:left="3852" w:hanging="360"/>
      </w:pPr>
    </w:lvl>
    <w:lvl w:ilvl="5" w:tplc="0809001B" w:tentative="1">
      <w:start w:val="1"/>
      <w:numFmt w:val="lowerRoman"/>
      <w:lvlText w:val="%6."/>
      <w:lvlJc w:val="right"/>
      <w:pPr>
        <w:tabs>
          <w:tab w:val="num" w:pos="4572"/>
        </w:tabs>
        <w:ind w:left="4572" w:hanging="180"/>
      </w:pPr>
    </w:lvl>
    <w:lvl w:ilvl="6" w:tplc="0809000F" w:tentative="1">
      <w:start w:val="1"/>
      <w:numFmt w:val="decimal"/>
      <w:lvlText w:val="%7."/>
      <w:lvlJc w:val="left"/>
      <w:pPr>
        <w:tabs>
          <w:tab w:val="num" w:pos="5292"/>
        </w:tabs>
        <w:ind w:left="5292" w:hanging="360"/>
      </w:pPr>
    </w:lvl>
    <w:lvl w:ilvl="7" w:tplc="08090019" w:tentative="1">
      <w:start w:val="1"/>
      <w:numFmt w:val="lowerLetter"/>
      <w:lvlText w:val="%8."/>
      <w:lvlJc w:val="left"/>
      <w:pPr>
        <w:tabs>
          <w:tab w:val="num" w:pos="6012"/>
        </w:tabs>
        <w:ind w:left="6012" w:hanging="360"/>
      </w:pPr>
    </w:lvl>
    <w:lvl w:ilvl="8" w:tplc="0809001B" w:tentative="1">
      <w:start w:val="1"/>
      <w:numFmt w:val="lowerRoman"/>
      <w:lvlText w:val="%9."/>
      <w:lvlJc w:val="right"/>
      <w:pPr>
        <w:tabs>
          <w:tab w:val="num" w:pos="6732"/>
        </w:tabs>
        <w:ind w:left="6732" w:hanging="180"/>
      </w:pPr>
    </w:lvl>
  </w:abstractNum>
  <w:abstractNum w:abstractNumId="30">
    <w:nsid w:val="7D1138EB"/>
    <w:multiLevelType w:val="hybridMultilevel"/>
    <w:tmpl w:val="8B444B24"/>
    <w:lvl w:ilvl="0" w:tplc="08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D531B5F"/>
    <w:multiLevelType w:val="hybridMultilevel"/>
    <w:tmpl w:val="78F4907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nsid w:val="7DE75142"/>
    <w:multiLevelType w:val="hybridMultilevel"/>
    <w:tmpl w:val="3510163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9"/>
  </w:num>
  <w:num w:numId="2">
    <w:abstractNumId w:val="27"/>
  </w:num>
  <w:num w:numId="3">
    <w:abstractNumId w:val="32"/>
  </w:num>
  <w:num w:numId="4">
    <w:abstractNumId w:val="1"/>
  </w:num>
  <w:num w:numId="5">
    <w:abstractNumId w:val="24"/>
  </w:num>
  <w:num w:numId="6">
    <w:abstractNumId w:val="25"/>
  </w:num>
  <w:num w:numId="7">
    <w:abstractNumId w:val="30"/>
  </w:num>
  <w:num w:numId="8">
    <w:abstractNumId w:val="7"/>
  </w:num>
  <w:num w:numId="9">
    <w:abstractNumId w:val="19"/>
  </w:num>
  <w:num w:numId="10">
    <w:abstractNumId w:val="6"/>
  </w:num>
  <w:num w:numId="11">
    <w:abstractNumId w:val="15"/>
  </w:num>
  <w:num w:numId="12">
    <w:abstractNumId w:val="12"/>
  </w:num>
  <w:num w:numId="13">
    <w:abstractNumId w:val="0"/>
  </w:num>
  <w:num w:numId="14">
    <w:abstractNumId w:val="18"/>
  </w:num>
  <w:num w:numId="15">
    <w:abstractNumId w:val="4"/>
  </w:num>
  <w:num w:numId="16">
    <w:abstractNumId w:val="11"/>
  </w:num>
  <w:num w:numId="17">
    <w:abstractNumId w:val="20"/>
  </w:num>
  <w:num w:numId="18">
    <w:abstractNumId w:val="23"/>
  </w:num>
  <w:num w:numId="19">
    <w:abstractNumId w:val="14"/>
  </w:num>
  <w:num w:numId="20">
    <w:abstractNumId w:val="5"/>
  </w:num>
  <w:num w:numId="21">
    <w:abstractNumId w:val="28"/>
  </w:num>
  <w:num w:numId="22">
    <w:abstractNumId w:val="26"/>
  </w:num>
  <w:num w:numId="23">
    <w:abstractNumId w:val="31"/>
  </w:num>
  <w:num w:numId="24">
    <w:abstractNumId w:val="16"/>
  </w:num>
  <w:num w:numId="25">
    <w:abstractNumId w:val="2"/>
  </w:num>
  <w:num w:numId="26">
    <w:abstractNumId w:val="8"/>
  </w:num>
  <w:num w:numId="27">
    <w:abstractNumId w:val="17"/>
  </w:num>
  <w:num w:numId="28">
    <w:abstractNumId w:val="10"/>
  </w:num>
  <w:num w:numId="29">
    <w:abstractNumId w:val="3"/>
  </w:num>
  <w:num w:numId="30">
    <w:abstractNumId w:val="22"/>
  </w:num>
  <w:num w:numId="31">
    <w:abstractNumId w:val="21"/>
  </w:num>
  <w:num w:numId="32">
    <w:abstractNumId w:val="13"/>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rsids>
    <w:rsidRoot w:val="005617D6"/>
    <w:rsid w:val="000018AA"/>
    <w:rsid w:val="0000288C"/>
    <w:rsid w:val="000122DD"/>
    <w:rsid w:val="00021736"/>
    <w:rsid w:val="00034286"/>
    <w:rsid w:val="000551D3"/>
    <w:rsid w:val="00075024"/>
    <w:rsid w:val="0008768F"/>
    <w:rsid w:val="000B00D7"/>
    <w:rsid w:val="000C1E6F"/>
    <w:rsid w:val="000D1B2E"/>
    <w:rsid w:val="000D2127"/>
    <w:rsid w:val="000D5799"/>
    <w:rsid w:val="000E001D"/>
    <w:rsid w:val="000E74E0"/>
    <w:rsid w:val="000F3813"/>
    <w:rsid w:val="00103FE4"/>
    <w:rsid w:val="0011055F"/>
    <w:rsid w:val="00113987"/>
    <w:rsid w:val="0012086D"/>
    <w:rsid w:val="001227B7"/>
    <w:rsid w:val="001246F6"/>
    <w:rsid w:val="00142990"/>
    <w:rsid w:val="0014475F"/>
    <w:rsid w:val="00160F4F"/>
    <w:rsid w:val="00164354"/>
    <w:rsid w:val="0017083C"/>
    <w:rsid w:val="00175894"/>
    <w:rsid w:val="001759F7"/>
    <w:rsid w:val="00176F1C"/>
    <w:rsid w:val="001901CA"/>
    <w:rsid w:val="0019796F"/>
    <w:rsid w:val="001A11F4"/>
    <w:rsid w:val="001A47A6"/>
    <w:rsid w:val="001C7FB5"/>
    <w:rsid w:val="001F282F"/>
    <w:rsid w:val="001F3CAB"/>
    <w:rsid w:val="002011E9"/>
    <w:rsid w:val="00207B0F"/>
    <w:rsid w:val="00210DAB"/>
    <w:rsid w:val="00220734"/>
    <w:rsid w:val="0022373C"/>
    <w:rsid w:val="00245EA7"/>
    <w:rsid w:val="00245EB3"/>
    <w:rsid w:val="00251554"/>
    <w:rsid w:val="0025514C"/>
    <w:rsid w:val="00262815"/>
    <w:rsid w:val="0028007C"/>
    <w:rsid w:val="0028482B"/>
    <w:rsid w:val="002861F6"/>
    <w:rsid w:val="002962F6"/>
    <w:rsid w:val="002A6B3F"/>
    <w:rsid w:val="002D3A1B"/>
    <w:rsid w:val="002D7F0D"/>
    <w:rsid w:val="002E0344"/>
    <w:rsid w:val="002F0563"/>
    <w:rsid w:val="00300924"/>
    <w:rsid w:val="0030288C"/>
    <w:rsid w:val="003144E1"/>
    <w:rsid w:val="00323C42"/>
    <w:rsid w:val="00331B28"/>
    <w:rsid w:val="003364D8"/>
    <w:rsid w:val="00355EEA"/>
    <w:rsid w:val="00357D79"/>
    <w:rsid w:val="0036233E"/>
    <w:rsid w:val="003B2010"/>
    <w:rsid w:val="003B3038"/>
    <w:rsid w:val="003B5F21"/>
    <w:rsid w:val="003C6EAD"/>
    <w:rsid w:val="003D2C7E"/>
    <w:rsid w:val="003F577F"/>
    <w:rsid w:val="00433A2D"/>
    <w:rsid w:val="00436ECB"/>
    <w:rsid w:val="0044316B"/>
    <w:rsid w:val="00445A8A"/>
    <w:rsid w:val="0045395B"/>
    <w:rsid w:val="0045723A"/>
    <w:rsid w:val="00463652"/>
    <w:rsid w:val="0046650D"/>
    <w:rsid w:val="0047063F"/>
    <w:rsid w:val="00474535"/>
    <w:rsid w:val="0048357D"/>
    <w:rsid w:val="004842F8"/>
    <w:rsid w:val="004A18E0"/>
    <w:rsid w:val="004A3EFD"/>
    <w:rsid w:val="004A70AB"/>
    <w:rsid w:val="004B5065"/>
    <w:rsid w:val="004B77BF"/>
    <w:rsid w:val="004E027E"/>
    <w:rsid w:val="004E48A0"/>
    <w:rsid w:val="004F6A17"/>
    <w:rsid w:val="00510C99"/>
    <w:rsid w:val="00511D1C"/>
    <w:rsid w:val="00513DFF"/>
    <w:rsid w:val="00520D7D"/>
    <w:rsid w:val="00531FDD"/>
    <w:rsid w:val="005520B3"/>
    <w:rsid w:val="005544C0"/>
    <w:rsid w:val="0055588C"/>
    <w:rsid w:val="005617D6"/>
    <w:rsid w:val="00572AEF"/>
    <w:rsid w:val="00574D9C"/>
    <w:rsid w:val="00576735"/>
    <w:rsid w:val="005800FE"/>
    <w:rsid w:val="005B3F58"/>
    <w:rsid w:val="005B6043"/>
    <w:rsid w:val="005C03FF"/>
    <w:rsid w:val="005D5204"/>
    <w:rsid w:val="005E6934"/>
    <w:rsid w:val="005E69EB"/>
    <w:rsid w:val="005F5AED"/>
    <w:rsid w:val="00603316"/>
    <w:rsid w:val="00633AA8"/>
    <w:rsid w:val="00635CE4"/>
    <w:rsid w:val="00636974"/>
    <w:rsid w:val="006377C4"/>
    <w:rsid w:val="006408BA"/>
    <w:rsid w:val="00643B80"/>
    <w:rsid w:val="00674970"/>
    <w:rsid w:val="006837FA"/>
    <w:rsid w:val="006A6CD0"/>
    <w:rsid w:val="006B57E8"/>
    <w:rsid w:val="006C2BD2"/>
    <w:rsid w:val="006D224E"/>
    <w:rsid w:val="007014A9"/>
    <w:rsid w:val="00706199"/>
    <w:rsid w:val="007203AB"/>
    <w:rsid w:val="00724FD0"/>
    <w:rsid w:val="0072639E"/>
    <w:rsid w:val="00727782"/>
    <w:rsid w:val="00727E13"/>
    <w:rsid w:val="007377C6"/>
    <w:rsid w:val="00753725"/>
    <w:rsid w:val="00753828"/>
    <w:rsid w:val="00760BBF"/>
    <w:rsid w:val="00765C42"/>
    <w:rsid w:val="00771888"/>
    <w:rsid w:val="00782C45"/>
    <w:rsid w:val="00791BCE"/>
    <w:rsid w:val="007944EB"/>
    <w:rsid w:val="007A531F"/>
    <w:rsid w:val="007C2C09"/>
    <w:rsid w:val="007D338E"/>
    <w:rsid w:val="007E5B38"/>
    <w:rsid w:val="008032E7"/>
    <w:rsid w:val="008054AD"/>
    <w:rsid w:val="00820FB8"/>
    <w:rsid w:val="0082700C"/>
    <w:rsid w:val="0085260A"/>
    <w:rsid w:val="00856F31"/>
    <w:rsid w:val="0086081C"/>
    <w:rsid w:val="0086555B"/>
    <w:rsid w:val="008673CA"/>
    <w:rsid w:val="008754CE"/>
    <w:rsid w:val="0088121E"/>
    <w:rsid w:val="0089612D"/>
    <w:rsid w:val="008A0CB6"/>
    <w:rsid w:val="008B2933"/>
    <w:rsid w:val="008B29C4"/>
    <w:rsid w:val="008C60BD"/>
    <w:rsid w:val="008F6F62"/>
    <w:rsid w:val="00910E3D"/>
    <w:rsid w:val="009167AA"/>
    <w:rsid w:val="009304CD"/>
    <w:rsid w:val="00945338"/>
    <w:rsid w:val="00945E66"/>
    <w:rsid w:val="009565B9"/>
    <w:rsid w:val="00957A13"/>
    <w:rsid w:val="00957B80"/>
    <w:rsid w:val="00961086"/>
    <w:rsid w:val="00966A7F"/>
    <w:rsid w:val="00991CAA"/>
    <w:rsid w:val="0099472A"/>
    <w:rsid w:val="00995FFD"/>
    <w:rsid w:val="009A1008"/>
    <w:rsid w:val="009A1231"/>
    <w:rsid w:val="009C0F42"/>
    <w:rsid w:val="009C1640"/>
    <w:rsid w:val="009C220E"/>
    <w:rsid w:val="009D6192"/>
    <w:rsid w:val="009D791C"/>
    <w:rsid w:val="009E1D6E"/>
    <w:rsid w:val="009E54AB"/>
    <w:rsid w:val="00A403BF"/>
    <w:rsid w:val="00A41E5E"/>
    <w:rsid w:val="00A42D50"/>
    <w:rsid w:val="00A57C5B"/>
    <w:rsid w:val="00A66D4B"/>
    <w:rsid w:val="00A77033"/>
    <w:rsid w:val="00A87A2D"/>
    <w:rsid w:val="00A9704E"/>
    <w:rsid w:val="00A97620"/>
    <w:rsid w:val="00AB4CED"/>
    <w:rsid w:val="00AC3397"/>
    <w:rsid w:val="00AF3192"/>
    <w:rsid w:val="00AF41E8"/>
    <w:rsid w:val="00B14A7A"/>
    <w:rsid w:val="00B23357"/>
    <w:rsid w:val="00B268E4"/>
    <w:rsid w:val="00B3190B"/>
    <w:rsid w:val="00B3326A"/>
    <w:rsid w:val="00B33E17"/>
    <w:rsid w:val="00B56F0F"/>
    <w:rsid w:val="00B621B2"/>
    <w:rsid w:val="00B62C7A"/>
    <w:rsid w:val="00B67036"/>
    <w:rsid w:val="00B90C0B"/>
    <w:rsid w:val="00B921EF"/>
    <w:rsid w:val="00BA6944"/>
    <w:rsid w:val="00BD05F2"/>
    <w:rsid w:val="00BD43EF"/>
    <w:rsid w:val="00BE07D9"/>
    <w:rsid w:val="00BF5F11"/>
    <w:rsid w:val="00C01AFC"/>
    <w:rsid w:val="00C110B5"/>
    <w:rsid w:val="00C153F7"/>
    <w:rsid w:val="00C24F6B"/>
    <w:rsid w:val="00C422B2"/>
    <w:rsid w:val="00C524D3"/>
    <w:rsid w:val="00C57C3D"/>
    <w:rsid w:val="00C84BDD"/>
    <w:rsid w:val="00C86298"/>
    <w:rsid w:val="00C96510"/>
    <w:rsid w:val="00CB1B29"/>
    <w:rsid w:val="00CC1C50"/>
    <w:rsid w:val="00CC2414"/>
    <w:rsid w:val="00CC7F79"/>
    <w:rsid w:val="00CD7D3F"/>
    <w:rsid w:val="00D067DB"/>
    <w:rsid w:val="00D15558"/>
    <w:rsid w:val="00D17308"/>
    <w:rsid w:val="00D33634"/>
    <w:rsid w:val="00D41CD8"/>
    <w:rsid w:val="00D579A5"/>
    <w:rsid w:val="00D63479"/>
    <w:rsid w:val="00D74440"/>
    <w:rsid w:val="00D850DD"/>
    <w:rsid w:val="00DA3F35"/>
    <w:rsid w:val="00DD1722"/>
    <w:rsid w:val="00DE19A6"/>
    <w:rsid w:val="00DF01DF"/>
    <w:rsid w:val="00DF3D0B"/>
    <w:rsid w:val="00E22917"/>
    <w:rsid w:val="00E3023C"/>
    <w:rsid w:val="00E370FD"/>
    <w:rsid w:val="00E44274"/>
    <w:rsid w:val="00E46BE1"/>
    <w:rsid w:val="00E47382"/>
    <w:rsid w:val="00E53FE3"/>
    <w:rsid w:val="00E5422C"/>
    <w:rsid w:val="00E85E78"/>
    <w:rsid w:val="00E9426A"/>
    <w:rsid w:val="00EA1470"/>
    <w:rsid w:val="00EB2068"/>
    <w:rsid w:val="00EB442E"/>
    <w:rsid w:val="00EC33FD"/>
    <w:rsid w:val="00ED52CA"/>
    <w:rsid w:val="00F0425D"/>
    <w:rsid w:val="00F100AB"/>
    <w:rsid w:val="00F10E08"/>
    <w:rsid w:val="00F12471"/>
    <w:rsid w:val="00F232A7"/>
    <w:rsid w:val="00F318A5"/>
    <w:rsid w:val="00F45E5C"/>
    <w:rsid w:val="00F6677A"/>
    <w:rsid w:val="00F8385D"/>
    <w:rsid w:val="00F97CDE"/>
    <w:rsid w:val="00FA094A"/>
    <w:rsid w:val="00FB0B5A"/>
    <w:rsid w:val="00FB53EA"/>
    <w:rsid w:val="00FC16D8"/>
    <w:rsid w:val="00FD6C14"/>
    <w:rsid w:val="00FD6E6F"/>
    <w:rsid w:val="00FF51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7D6"/>
    <w:rPr>
      <w:rFonts w:ascii="Arial" w:eastAsia="Times New Roman" w:hAnsi="Arial"/>
      <w:sz w:val="24"/>
      <w:szCs w:val="24"/>
    </w:rPr>
  </w:style>
  <w:style w:type="paragraph" w:styleId="Heading1">
    <w:name w:val="heading 1"/>
    <w:basedOn w:val="Normal"/>
    <w:next w:val="Normal"/>
    <w:qFormat/>
    <w:rsid w:val="00A41E5E"/>
    <w:pPr>
      <w:keepNext/>
      <w:pageBreakBefore/>
      <w:numPr>
        <w:numId w:val="19"/>
      </w:numPr>
      <w:pBdr>
        <w:bottom w:val="single" w:sz="12" w:space="1" w:color="auto"/>
      </w:pBdr>
      <w:spacing w:after="120"/>
      <w:outlineLvl w:val="0"/>
    </w:pPr>
    <w:rPr>
      <w:b/>
      <w:i/>
      <w:caps/>
      <w:kern w:val="28"/>
      <w:sz w:val="22"/>
      <w:szCs w:val="20"/>
      <w:lang w:eastAsia="en-US"/>
    </w:rPr>
  </w:style>
  <w:style w:type="paragraph" w:styleId="Heading2">
    <w:name w:val="heading 2"/>
    <w:basedOn w:val="Normal"/>
    <w:next w:val="Normal"/>
    <w:qFormat/>
    <w:rsid w:val="00A41E5E"/>
    <w:pPr>
      <w:keepNext/>
      <w:numPr>
        <w:ilvl w:val="1"/>
        <w:numId w:val="19"/>
      </w:numPr>
      <w:spacing w:before="280"/>
      <w:outlineLvl w:val="1"/>
    </w:pPr>
    <w:rPr>
      <w:b/>
      <w:caps/>
      <w:kern w:val="28"/>
      <w:sz w:val="22"/>
      <w:szCs w:val="20"/>
      <w:lang w:eastAsia="en-US"/>
    </w:rPr>
  </w:style>
  <w:style w:type="paragraph" w:styleId="Heading3">
    <w:name w:val="heading 3"/>
    <w:basedOn w:val="Normal"/>
    <w:next w:val="Normal"/>
    <w:qFormat/>
    <w:rsid w:val="00A41E5E"/>
    <w:pPr>
      <w:keepNext/>
      <w:numPr>
        <w:ilvl w:val="2"/>
        <w:numId w:val="19"/>
      </w:numPr>
      <w:spacing w:before="260"/>
      <w:outlineLvl w:val="2"/>
    </w:pPr>
    <w:rPr>
      <w:b/>
      <w:kern w:val="28"/>
      <w:sz w:val="22"/>
      <w:szCs w:val="20"/>
      <w:lang w:eastAsia="en-US"/>
    </w:rPr>
  </w:style>
  <w:style w:type="paragraph" w:styleId="Heading4">
    <w:name w:val="heading 4"/>
    <w:basedOn w:val="Normal"/>
    <w:next w:val="Normal"/>
    <w:qFormat/>
    <w:rsid w:val="00A41E5E"/>
    <w:pPr>
      <w:keepNext/>
      <w:numPr>
        <w:ilvl w:val="3"/>
        <w:numId w:val="19"/>
      </w:numPr>
      <w:spacing w:before="240"/>
      <w:outlineLvl w:val="3"/>
    </w:pPr>
    <w:rPr>
      <w:i/>
      <w:caps/>
      <w:kern w:val="28"/>
      <w:sz w:val="22"/>
      <w:szCs w:val="20"/>
      <w:lang w:eastAsia="en-US"/>
    </w:rPr>
  </w:style>
  <w:style w:type="paragraph" w:styleId="Heading5">
    <w:name w:val="heading 5"/>
    <w:basedOn w:val="Normal"/>
    <w:next w:val="Normal"/>
    <w:qFormat/>
    <w:rsid w:val="00A41E5E"/>
    <w:pPr>
      <w:keepNext/>
      <w:numPr>
        <w:ilvl w:val="4"/>
        <w:numId w:val="19"/>
      </w:numPr>
      <w:spacing w:before="240"/>
      <w:outlineLvl w:val="4"/>
    </w:pPr>
    <w:rPr>
      <w:i/>
      <w:kern w:val="28"/>
      <w:sz w:val="22"/>
      <w:szCs w:val="20"/>
      <w:lang w:eastAsia="en-US"/>
    </w:rPr>
  </w:style>
  <w:style w:type="paragraph" w:styleId="Heading6">
    <w:name w:val="heading 6"/>
    <w:basedOn w:val="Normal"/>
    <w:next w:val="Normal"/>
    <w:qFormat/>
    <w:rsid w:val="00A41E5E"/>
    <w:pPr>
      <w:keepNext/>
      <w:pageBreakBefore/>
      <w:numPr>
        <w:ilvl w:val="5"/>
        <w:numId w:val="19"/>
      </w:numPr>
      <w:pBdr>
        <w:bottom w:val="single" w:sz="12" w:space="1" w:color="auto"/>
      </w:pBdr>
      <w:spacing w:after="120"/>
      <w:outlineLvl w:val="5"/>
    </w:pPr>
    <w:rPr>
      <w:b/>
      <w:i/>
      <w:caps/>
      <w:kern w:val="28"/>
      <w:sz w:val="22"/>
      <w:szCs w:val="20"/>
      <w:lang w:eastAsia="en-US"/>
    </w:rPr>
  </w:style>
  <w:style w:type="paragraph" w:styleId="Heading7">
    <w:name w:val="heading 7"/>
    <w:basedOn w:val="Normal"/>
    <w:next w:val="Normal"/>
    <w:qFormat/>
    <w:rsid w:val="00A41E5E"/>
    <w:pPr>
      <w:keepNext/>
      <w:numPr>
        <w:ilvl w:val="6"/>
        <w:numId w:val="19"/>
      </w:numPr>
      <w:spacing w:before="280"/>
      <w:outlineLvl w:val="6"/>
    </w:pPr>
    <w:rPr>
      <w:b/>
      <w:caps/>
      <w:kern w:val="28"/>
      <w:sz w:val="22"/>
      <w:szCs w:val="20"/>
      <w:lang w:eastAsia="en-US"/>
    </w:rPr>
  </w:style>
  <w:style w:type="paragraph" w:styleId="Heading8">
    <w:name w:val="heading 8"/>
    <w:basedOn w:val="Normal"/>
    <w:next w:val="Normal"/>
    <w:qFormat/>
    <w:rsid w:val="00A41E5E"/>
    <w:pPr>
      <w:keepNext/>
      <w:numPr>
        <w:ilvl w:val="7"/>
        <w:numId w:val="19"/>
      </w:numPr>
      <w:spacing w:before="260"/>
      <w:outlineLvl w:val="7"/>
    </w:pPr>
    <w:rPr>
      <w:b/>
      <w:kern w:val="28"/>
      <w:sz w:val="22"/>
      <w:szCs w:val="20"/>
      <w:lang w:eastAsia="en-US"/>
    </w:rPr>
  </w:style>
  <w:style w:type="paragraph" w:styleId="Heading9">
    <w:name w:val="heading 9"/>
    <w:basedOn w:val="Normal"/>
    <w:next w:val="Normal"/>
    <w:qFormat/>
    <w:rsid w:val="00A41E5E"/>
    <w:pPr>
      <w:keepNext/>
      <w:numPr>
        <w:ilvl w:val="8"/>
        <w:numId w:val="19"/>
      </w:numPr>
      <w:spacing w:before="240"/>
      <w:outlineLvl w:val="8"/>
    </w:pPr>
    <w:rPr>
      <w:i/>
      <w:caps/>
      <w:kern w:val="28"/>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17D6"/>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rsid w:val="005617D6"/>
    <w:pPr>
      <w:tabs>
        <w:tab w:val="center" w:pos="4320"/>
        <w:tab w:val="right" w:pos="8640"/>
      </w:tabs>
    </w:pPr>
  </w:style>
  <w:style w:type="character" w:customStyle="1" w:styleId="HeaderChar">
    <w:name w:val="Header Char"/>
    <w:basedOn w:val="DefaultParagraphFont"/>
    <w:link w:val="Header"/>
    <w:rsid w:val="005617D6"/>
    <w:rPr>
      <w:rFonts w:ascii="Arial" w:eastAsia="Times New Roman" w:hAnsi="Arial" w:cs="Times New Roman"/>
      <w:lang w:eastAsia="en-GB"/>
    </w:rPr>
  </w:style>
  <w:style w:type="paragraph" w:styleId="Footer">
    <w:name w:val="footer"/>
    <w:basedOn w:val="Normal"/>
    <w:link w:val="FooterChar"/>
    <w:rsid w:val="005617D6"/>
    <w:pPr>
      <w:tabs>
        <w:tab w:val="center" w:pos="4320"/>
        <w:tab w:val="right" w:pos="8640"/>
      </w:tabs>
    </w:pPr>
  </w:style>
  <w:style w:type="character" w:customStyle="1" w:styleId="FooterChar">
    <w:name w:val="Footer Char"/>
    <w:basedOn w:val="DefaultParagraphFont"/>
    <w:link w:val="Footer"/>
    <w:rsid w:val="005617D6"/>
    <w:rPr>
      <w:rFonts w:ascii="Arial" w:eastAsia="Times New Roman" w:hAnsi="Arial" w:cs="Times New Roman"/>
      <w:lang w:eastAsia="en-GB"/>
    </w:rPr>
  </w:style>
  <w:style w:type="character" w:styleId="Hyperlink">
    <w:name w:val="Hyperlink"/>
    <w:basedOn w:val="DefaultParagraphFont"/>
    <w:rsid w:val="00A568E9"/>
    <w:rPr>
      <w:color w:val="0000FF"/>
      <w:u w:val="single"/>
    </w:rPr>
  </w:style>
  <w:style w:type="table" w:styleId="TableGrid">
    <w:name w:val="Table Grid"/>
    <w:basedOn w:val="TableNormal"/>
    <w:rsid w:val="000265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semiHidden/>
    <w:rsid w:val="00463652"/>
    <w:rPr>
      <w:rFonts w:ascii="Times New Roman" w:hAnsi="Times New Roman"/>
      <w:sz w:val="20"/>
      <w:szCs w:val="20"/>
    </w:rPr>
  </w:style>
  <w:style w:type="character" w:styleId="FootnoteReference">
    <w:name w:val="footnote reference"/>
    <w:basedOn w:val="DefaultParagraphFont"/>
    <w:semiHidden/>
    <w:rsid w:val="00995FFD"/>
    <w:rPr>
      <w:vertAlign w:val="superscript"/>
    </w:rPr>
  </w:style>
  <w:style w:type="paragraph" w:styleId="BodyText2">
    <w:name w:val="Body Text 2"/>
    <w:basedOn w:val="Normal"/>
    <w:rsid w:val="00995FFD"/>
    <w:pPr>
      <w:jc w:val="both"/>
    </w:pPr>
    <w:rPr>
      <w:szCs w:val="20"/>
    </w:rPr>
  </w:style>
  <w:style w:type="paragraph" w:styleId="BalloonText">
    <w:name w:val="Balloon Text"/>
    <w:basedOn w:val="Normal"/>
    <w:semiHidden/>
    <w:rsid w:val="00F10E08"/>
    <w:rPr>
      <w:rFonts w:ascii="Tahoma" w:hAnsi="Tahoma" w:cs="Tahoma"/>
      <w:sz w:val="16"/>
      <w:szCs w:val="16"/>
    </w:rPr>
  </w:style>
  <w:style w:type="paragraph" w:styleId="ListBullet">
    <w:name w:val="List Bullet"/>
    <w:basedOn w:val="Normal"/>
    <w:rsid w:val="00BA6944"/>
    <w:pPr>
      <w:numPr>
        <w:numId w:val="13"/>
      </w:numPr>
    </w:pPr>
  </w:style>
  <w:style w:type="paragraph" w:styleId="ListParagraph">
    <w:name w:val="List Paragraph"/>
    <w:basedOn w:val="Normal"/>
    <w:uiPriority w:val="34"/>
    <w:qFormat/>
    <w:rsid w:val="00CC2414"/>
    <w:pPr>
      <w:ind w:left="720"/>
      <w:contextualSpacing/>
    </w:pPr>
  </w:style>
  <w:style w:type="paragraph" w:customStyle="1" w:styleId="CharCharCharChar">
    <w:name w:val="Char Char Char Char"/>
    <w:aliases w:val=" Char Char Char Char Char Char Char Char, Char Char Char Char"/>
    <w:basedOn w:val="Normal"/>
    <w:rsid w:val="007377C6"/>
    <w:pPr>
      <w:spacing w:after="120" w:line="240" w:lineRule="exact"/>
    </w:pPr>
    <w:rPr>
      <w:rFonts w:ascii="Verdana" w:hAnsi="Verdana"/>
      <w:sz w:val="20"/>
      <w:szCs w:val="20"/>
      <w:lang w:val="en-US" w:eastAsia="en-US"/>
    </w:rPr>
  </w:style>
  <w:style w:type="character" w:styleId="PageNumber">
    <w:name w:val="page number"/>
    <w:basedOn w:val="DefaultParagraphFont"/>
    <w:rsid w:val="004B77BF"/>
  </w:style>
</w:styles>
</file>

<file path=word/webSettings.xml><?xml version="1.0" encoding="utf-8"?>
<w:webSettings xmlns:r="http://schemas.openxmlformats.org/officeDocument/2006/relationships" xmlns:w="http://schemas.openxmlformats.org/wordprocessingml/2006/main">
  <w:divs>
    <w:div w:id="4503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1BA41-C616-473D-BF29-5DEE46EAA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2689</Words>
  <Characters>14770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(insert text if necessary)</vt:lpstr>
    </vt:vector>
  </TitlesOfParts>
  <Company>Raffertys</Company>
  <LinksUpToDate>false</LinksUpToDate>
  <CharactersWithSpaces>17425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text if necessary)</dc:title>
  <dc:subject/>
  <dc:creator>John Rafferty</dc:creator>
  <cp:keywords/>
  <cp:lastModifiedBy>Tom.Easterling</cp:lastModifiedBy>
  <cp:revision>3</cp:revision>
  <cp:lastPrinted>2011-08-31T08:26:00Z</cp:lastPrinted>
  <dcterms:created xsi:type="dcterms:W3CDTF">2011-08-31T15:47:00Z</dcterms:created>
  <dcterms:modified xsi:type="dcterms:W3CDTF">2011-08-31T15:59:00Z</dcterms:modified>
</cp:coreProperties>
</file>