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F2" w:rsidRDefault="002D058F" w:rsidP="00D649F2">
      <w:pPr>
        <w:jc w:val="center"/>
        <w:rPr>
          <w:sz w:val="28"/>
        </w:rPr>
      </w:pPr>
      <w:bookmarkStart w:id="0" w:name="_GoBack"/>
      <w:bookmarkEnd w:id="0"/>
      <w:r>
        <w:rPr>
          <w:b/>
          <w:i/>
          <w:noProof/>
          <w:sz w:val="28"/>
        </w:rPr>
        <w:t>Delivery Group Meeting</w:t>
      </w:r>
      <w:r w:rsidR="00EE41A7">
        <w:rPr>
          <w:b/>
          <w:i/>
          <w:noProof/>
          <w:sz w:val="28"/>
        </w:rPr>
        <w:t xml:space="preserve"> </w:t>
      </w:r>
      <w:r w:rsidR="003E6D14">
        <w:rPr>
          <w:b/>
          <w:i/>
          <w:noProof/>
          <w:sz w:val="28"/>
        </w:rPr>
        <w:t>–</w:t>
      </w:r>
      <w:r w:rsidR="00623558">
        <w:rPr>
          <w:b/>
          <w:i/>
          <w:noProof/>
          <w:sz w:val="28"/>
        </w:rPr>
        <w:t xml:space="preserve"> </w:t>
      </w:r>
      <w:r w:rsidR="00ED7865">
        <w:rPr>
          <w:b/>
          <w:i/>
          <w:sz w:val="28"/>
        </w:rPr>
        <w:t xml:space="preserve">May </w:t>
      </w:r>
      <w:r w:rsidR="00ED7865" w:rsidRPr="00EE41A7">
        <w:rPr>
          <w:b/>
          <w:i/>
          <w:sz w:val="28"/>
        </w:rPr>
        <w:t>2012</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23"/>
        <w:gridCol w:w="652"/>
        <w:gridCol w:w="44"/>
        <w:gridCol w:w="1351"/>
        <w:gridCol w:w="832"/>
        <w:gridCol w:w="447"/>
        <w:gridCol w:w="1017"/>
        <w:gridCol w:w="924"/>
        <w:gridCol w:w="939"/>
        <w:gridCol w:w="471"/>
        <w:gridCol w:w="1107"/>
      </w:tblGrid>
      <w:tr w:rsidR="00D649F2" w:rsidRPr="002861F6" w:rsidTr="00EE41A7">
        <w:trPr>
          <w:jc w:val="center"/>
        </w:trPr>
        <w:tc>
          <w:tcPr>
            <w:tcW w:w="3119" w:type="dxa"/>
            <w:gridSpan w:val="3"/>
            <w:tcMar>
              <w:top w:w="108" w:type="dxa"/>
              <w:bottom w:w="108" w:type="dxa"/>
            </w:tcMar>
          </w:tcPr>
          <w:p w:rsidR="00D649F2" w:rsidRPr="002861F6" w:rsidRDefault="00D649F2" w:rsidP="00554A0A">
            <w:pPr>
              <w:pStyle w:val="Default"/>
              <w:rPr>
                <w:b/>
                <w:sz w:val="28"/>
              </w:rPr>
            </w:pPr>
            <w:r w:rsidRPr="002861F6">
              <w:rPr>
                <w:b/>
                <w:sz w:val="28"/>
              </w:rPr>
              <w:t>Title:</w:t>
            </w:r>
          </w:p>
        </w:tc>
        <w:tc>
          <w:tcPr>
            <w:tcW w:w="7088" w:type="dxa"/>
            <w:gridSpan w:val="8"/>
            <w:tcMar>
              <w:top w:w="108" w:type="dxa"/>
              <w:bottom w:w="108" w:type="dxa"/>
            </w:tcMar>
          </w:tcPr>
          <w:p w:rsidR="00D649F2" w:rsidRPr="00225259" w:rsidRDefault="00E9725B" w:rsidP="001B045A">
            <w:pPr>
              <w:rPr>
                <w:rFonts w:cs="Arial"/>
              </w:rPr>
            </w:pPr>
            <w:r>
              <w:rPr>
                <w:rFonts w:cs="Arial"/>
              </w:rPr>
              <w:t xml:space="preserve">Update on </w:t>
            </w:r>
            <w:r w:rsidR="002435BA">
              <w:t>Tripartite Formal Agreements (TFAs)</w:t>
            </w:r>
            <w:r>
              <w:rPr>
                <w:rFonts w:cs="Arial"/>
              </w:rPr>
              <w:t xml:space="preserve"> and </w:t>
            </w:r>
            <w:r w:rsidRPr="003839B8">
              <w:rPr>
                <w:rFonts w:cs="Arial"/>
              </w:rPr>
              <w:t>Foundation Trust</w:t>
            </w:r>
            <w:r w:rsidR="002435BA">
              <w:rPr>
                <w:rFonts w:cs="Arial"/>
              </w:rPr>
              <w:t xml:space="preserve"> (FT)</w:t>
            </w:r>
            <w:r w:rsidRPr="003839B8">
              <w:rPr>
                <w:rFonts w:cs="Arial"/>
              </w:rPr>
              <w:t xml:space="preserve"> solutions for all remaining NHS</w:t>
            </w:r>
            <w:r w:rsidR="001B045A">
              <w:rPr>
                <w:rFonts w:cs="Arial"/>
              </w:rPr>
              <w:t xml:space="preserve"> </w:t>
            </w:r>
            <w:r w:rsidRPr="003839B8">
              <w:rPr>
                <w:rFonts w:cs="Arial"/>
              </w:rPr>
              <w:t>Trusts</w:t>
            </w:r>
            <w:r w:rsidR="00F46AF6">
              <w:rPr>
                <w:rFonts w:cs="Arial"/>
              </w:rPr>
              <w:t xml:space="preserve"> in London</w:t>
            </w:r>
          </w:p>
        </w:tc>
      </w:tr>
      <w:tr w:rsidR="00D649F2" w:rsidRPr="002861F6" w:rsidTr="00EE41A7">
        <w:trPr>
          <w:jc w:val="center"/>
        </w:trPr>
        <w:tc>
          <w:tcPr>
            <w:tcW w:w="3119" w:type="dxa"/>
            <w:gridSpan w:val="3"/>
            <w:tcMar>
              <w:top w:w="108" w:type="dxa"/>
              <w:bottom w:w="108" w:type="dxa"/>
            </w:tcMar>
          </w:tcPr>
          <w:p w:rsidR="00D649F2" w:rsidRPr="00A71C0A" w:rsidRDefault="00D649F2" w:rsidP="00554A0A">
            <w:pPr>
              <w:pStyle w:val="Default"/>
              <w:rPr>
                <w:b/>
                <w:color w:val="auto"/>
                <w:sz w:val="28"/>
              </w:rPr>
            </w:pPr>
            <w:r w:rsidRPr="00A71C0A">
              <w:rPr>
                <w:b/>
                <w:color w:val="auto"/>
                <w:sz w:val="28"/>
              </w:rPr>
              <w:t xml:space="preserve">Agenda item: </w:t>
            </w:r>
          </w:p>
        </w:tc>
        <w:tc>
          <w:tcPr>
            <w:tcW w:w="2630" w:type="dxa"/>
            <w:gridSpan w:val="3"/>
            <w:tcMar>
              <w:top w:w="108" w:type="dxa"/>
              <w:bottom w:w="108" w:type="dxa"/>
            </w:tcMar>
          </w:tcPr>
          <w:p w:rsidR="00D649F2" w:rsidRPr="00A71C0A" w:rsidRDefault="0053058C" w:rsidP="00554A0A">
            <w:pPr>
              <w:pStyle w:val="Default"/>
              <w:rPr>
                <w:color w:val="auto"/>
                <w:sz w:val="28"/>
              </w:rPr>
            </w:pPr>
            <w:r>
              <w:rPr>
                <w:color w:val="auto"/>
                <w:sz w:val="28"/>
              </w:rPr>
              <w:t>10</w:t>
            </w:r>
          </w:p>
        </w:tc>
        <w:tc>
          <w:tcPr>
            <w:tcW w:w="2880" w:type="dxa"/>
            <w:gridSpan w:val="3"/>
          </w:tcPr>
          <w:p w:rsidR="00D649F2" w:rsidRPr="002861F6" w:rsidRDefault="00D649F2" w:rsidP="00554A0A">
            <w:pPr>
              <w:pStyle w:val="Default"/>
              <w:rPr>
                <w:sz w:val="28"/>
              </w:rPr>
            </w:pPr>
            <w:r w:rsidRPr="002861F6">
              <w:rPr>
                <w:b/>
                <w:sz w:val="28"/>
              </w:rPr>
              <w:t>Paper</w:t>
            </w:r>
          </w:p>
        </w:tc>
        <w:tc>
          <w:tcPr>
            <w:tcW w:w="1578" w:type="dxa"/>
            <w:gridSpan w:val="2"/>
          </w:tcPr>
          <w:p w:rsidR="00D649F2" w:rsidRPr="002861F6" w:rsidRDefault="0053058C" w:rsidP="00554A0A">
            <w:pPr>
              <w:pStyle w:val="Default"/>
              <w:rPr>
                <w:sz w:val="28"/>
              </w:rPr>
            </w:pPr>
            <w:r>
              <w:rPr>
                <w:sz w:val="28"/>
              </w:rPr>
              <w:t>10</w:t>
            </w:r>
          </w:p>
        </w:tc>
      </w:tr>
      <w:tr w:rsidR="00D649F2" w:rsidRPr="002861F6" w:rsidTr="00EE41A7">
        <w:trPr>
          <w:jc w:val="center"/>
        </w:trPr>
        <w:tc>
          <w:tcPr>
            <w:tcW w:w="3119" w:type="dxa"/>
            <w:gridSpan w:val="3"/>
            <w:tcMar>
              <w:top w:w="108" w:type="dxa"/>
              <w:bottom w:w="108" w:type="dxa"/>
            </w:tcMar>
          </w:tcPr>
          <w:p w:rsidR="00D649F2" w:rsidRPr="002861F6" w:rsidRDefault="00D649F2" w:rsidP="00554A0A">
            <w:pPr>
              <w:pStyle w:val="Default"/>
              <w:rPr>
                <w:b/>
              </w:rPr>
            </w:pPr>
            <w:r w:rsidRPr="002861F6">
              <w:rPr>
                <w:b/>
              </w:rPr>
              <w:t>Action requested:</w:t>
            </w:r>
          </w:p>
        </w:tc>
        <w:tc>
          <w:tcPr>
            <w:tcW w:w="7088" w:type="dxa"/>
            <w:gridSpan w:val="8"/>
            <w:tcMar>
              <w:top w:w="108" w:type="dxa"/>
              <w:bottom w:w="108" w:type="dxa"/>
            </w:tcMar>
          </w:tcPr>
          <w:p w:rsidR="00055328" w:rsidRDefault="00276757" w:rsidP="00276757">
            <w:pPr>
              <w:rPr>
                <w:rFonts w:cs="Arial"/>
              </w:rPr>
            </w:pPr>
            <w:r>
              <w:t xml:space="preserve">- </w:t>
            </w:r>
            <w:r w:rsidR="00335D0C">
              <w:t>T</w:t>
            </w:r>
            <w:r w:rsidR="00B75CE5">
              <w:t>o</w:t>
            </w:r>
            <w:r w:rsidR="009749C0">
              <w:t xml:space="preserve"> </w:t>
            </w:r>
            <w:r w:rsidR="00055328">
              <w:t xml:space="preserve">note and </w:t>
            </w:r>
            <w:r w:rsidR="009749C0">
              <w:t xml:space="preserve">discuss </w:t>
            </w:r>
            <w:r w:rsidR="00E9725B">
              <w:t xml:space="preserve">the progress made by </w:t>
            </w:r>
            <w:r w:rsidR="0086577E">
              <w:t>t</w:t>
            </w:r>
            <w:r w:rsidR="00F67FE0">
              <w:t>rusts</w:t>
            </w:r>
            <w:r w:rsidR="00E9725B">
              <w:t xml:space="preserve"> in relation to </w:t>
            </w:r>
            <w:r w:rsidR="00B75CE5">
              <w:t xml:space="preserve">the delivery of the milestones in the </w:t>
            </w:r>
            <w:r w:rsidR="0020590F">
              <w:rPr>
                <w:rFonts w:cs="Arial"/>
              </w:rPr>
              <w:t>Tripartite Formal Agreements</w:t>
            </w:r>
            <w:r w:rsidR="00BD7F5E">
              <w:rPr>
                <w:rFonts w:cs="Arial"/>
              </w:rPr>
              <w:t xml:space="preserve"> (TFAs)</w:t>
            </w:r>
            <w:r w:rsidR="00055328">
              <w:rPr>
                <w:rFonts w:cs="Arial"/>
              </w:rPr>
              <w:t xml:space="preserve"> </w:t>
            </w:r>
          </w:p>
          <w:p w:rsidR="009749C0" w:rsidRPr="00E9725B" w:rsidRDefault="00055328" w:rsidP="00276757">
            <w:pPr>
              <w:rPr>
                <w:color w:val="1F497D"/>
              </w:rPr>
            </w:pPr>
            <w:r>
              <w:rPr>
                <w:rFonts w:cs="Arial"/>
              </w:rPr>
              <w:t xml:space="preserve">- To </w:t>
            </w:r>
            <w:r w:rsidR="00511060">
              <w:rPr>
                <w:rFonts w:cs="Arial"/>
              </w:rPr>
              <w:t xml:space="preserve">provide an update re: the trusts in the </w:t>
            </w:r>
            <w:r>
              <w:rPr>
                <w:rFonts w:cs="Arial"/>
              </w:rPr>
              <w:t xml:space="preserve"> </w:t>
            </w:r>
            <w:r w:rsidR="00511060">
              <w:rPr>
                <w:rFonts w:cs="Arial"/>
              </w:rPr>
              <w:t>Stage 2 DH Performance and Escalation process</w:t>
            </w:r>
          </w:p>
          <w:p w:rsidR="00C12292" w:rsidRPr="00026546" w:rsidRDefault="00276757" w:rsidP="009E39FF">
            <w:pPr>
              <w:pStyle w:val="Default"/>
            </w:pPr>
            <w:r>
              <w:t xml:space="preserve">-  </w:t>
            </w:r>
            <w:r w:rsidR="00225259">
              <w:t xml:space="preserve">To </w:t>
            </w:r>
            <w:r w:rsidR="009E39FF">
              <w:t>update re: progress regarding roll-out of the</w:t>
            </w:r>
            <w:r w:rsidR="001D5155">
              <w:t xml:space="preserve"> </w:t>
            </w:r>
            <w:r w:rsidR="009E39FF">
              <w:t>Accountability Agreements</w:t>
            </w:r>
            <w:r w:rsidR="00225259">
              <w:t xml:space="preserve"> </w:t>
            </w:r>
            <w:r w:rsidR="000D7CD8">
              <w:t>to aspirant Foundation Trusts</w:t>
            </w:r>
          </w:p>
        </w:tc>
      </w:tr>
      <w:tr w:rsidR="00E1616B" w:rsidRPr="002861F6" w:rsidTr="00EE41A7">
        <w:trPr>
          <w:jc w:val="center"/>
        </w:trPr>
        <w:tc>
          <w:tcPr>
            <w:tcW w:w="3119" w:type="dxa"/>
            <w:gridSpan w:val="3"/>
            <w:tcMar>
              <w:top w:w="108" w:type="dxa"/>
              <w:bottom w:w="108" w:type="dxa"/>
            </w:tcMar>
          </w:tcPr>
          <w:p w:rsidR="00E1616B" w:rsidRPr="002861F6" w:rsidRDefault="00E1616B" w:rsidP="00554A0A">
            <w:pPr>
              <w:pStyle w:val="Default"/>
              <w:rPr>
                <w:b/>
              </w:rPr>
            </w:pPr>
            <w:r>
              <w:rPr>
                <w:b/>
              </w:rPr>
              <w:t>Timing</w:t>
            </w:r>
          </w:p>
        </w:tc>
        <w:tc>
          <w:tcPr>
            <w:tcW w:w="7088" w:type="dxa"/>
            <w:gridSpan w:val="8"/>
            <w:tcMar>
              <w:top w:w="108" w:type="dxa"/>
              <w:bottom w:w="108" w:type="dxa"/>
            </w:tcMar>
          </w:tcPr>
          <w:p w:rsidR="00E1616B" w:rsidRDefault="00A76AEC" w:rsidP="00A76AEC">
            <w:pPr>
              <w:rPr>
                <w:rFonts w:cs="Arial"/>
              </w:rPr>
            </w:pPr>
            <w:r>
              <w:rPr>
                <w:rFonts w:cs="Arial"/>
              </w:rPr>
              <w:t>FT solutions report to Delivery Group every 2 months</w:t>
            </w:r>
          </w:p>
        </w:tc>
      </w:tr>
      <w:tr w:rsidR="00D649F2" w:rsidRPr="002861F6" w:rsidTr="00212B70">
        <w:trPr>
          <w:trHeight w:val="1583"/>
          <w:jc w:val="center"/>
        </w:trPr>
        <w:tc>
          <w:tcPr>
            <w:tcW w:w="3119" w:type="dxa"/>
            <w:gridSpan w:val="3"/>
            <w:tcMar>
              <w:top w:w="108" w:type="dxa"/>
              <w:bottom w:w="108" w:type="dxa"/>
            </w:tcMar>
          </w:tcPr>
          <w:p w:rsidR="00D649F2" w:rsidRPr="002861F6" w:rsidRDefault="00D649F2" w:rsidP="00554A0A">
            <w:pPr>
              <w:pStyle w:val="Default"/>
              <w:rPr>
                <w:b/>
              </w:rPr>
            </w:pPr>
            <w:r w:rsidRPr="002861F6">
              <w:rPr>
                <w:b/>
              </w:rPr>
              <w:t>Executive Summary:</w:t>
            </w:r>
          </w:p>
          <w:p w:rsidR="00D649F2" w:rsidRPr="002861F6" w:rsidRDefault="00D649F2" w:rsidP="00554A0A">
            <w:pPr>
              <w:pStyle w:val="Default"/>
              <w:rPr>
                <w:b/>
              </w:rPr>
            </w:pPr>
          </w:p>
          <w:p w:rsidR="00D649F2" w:rsidRPr="002861F6" w:rsidRDefault="00D649F2" w:rsidP="00554A0A">
            <w:pPr>
              <w:pStyle w:val="Default"/>
              <w:rPr>
                <w:b/>
              </w:rPr>
            </w:pPr>
          </w:p>
        </w:tc>
        <w:tc>
          <w:tcPr>
            <w:tcW w:w="7088" w:type="dxa"/>
            <w:gridSpan w:val="8"/>
            <w:tcMar>
              <w:top w:w="108" w:type="dxa"/>
              <w:bottom w:w="108" w:type="dxa"/>
            </w:tcMar>
          </w:tcPr>
          <w:p w:rsidR="000F353F" w:rsidRDefault="00B75CE5" w:rsidP="00A227AB">
            <w:pPr>
              <w:jc w:val="both"/>
              <w:rPr>
                <w:rFonts w:cs="Arial"/>
              </w:rPr>
            </w:pPr>
            <w:r>
              <w:rPr>
                <w:rFonts w:cs="Arial"/>
              </w:rPr>
              <w:t xml:space="preserve">The </w:t>
            </w:r>
            <w:r w:rsidR="00C1690A">
              <w:rPr>
                <w:rFonts w:cs="Arial"/>
              </w:rPr>
              <w:t>main purpose of this paper is to highlight the</w:t>
            </w:r>
            <w:r w:rsidR="00F90197">
              <w:rPr>
                <w:rFonts w:cs="Arial"/>
              </w:rPr>
              <w:t xml:space="preserve"> </w:t>
            </w:r>
            <w:r w:rsidR="00BD2077">
              <w:rPr>
                <w:rFonts w:cs="Arial"/>
              </w:rPr>
              <w:t xml:space="preserve">progress made by </w:t>
            </w:r>
            <w:r w:rsidR="0086577E">
              <w:rPr>
                <w:rFonts w:cs="Arial"/>
              </w:rPr>
              <w:t>t</w:t>
            </w:r>
            <w:r w:rsidR="00F67FE0">
              <w:rPr>
                <w:rFonts w:cs="Arial"/>
              </w:rPr>
              <w:t>rusts</w:t>
            </w:r>
            <w:r w:rsidR="00BD2077">
              <w:rPr>
                <w:rFonts w:cs="Arial"/>
              </w:rPr>
              <w:t xml:space="preserve"> in relation to the</w:t>
            </w:r>
            <w:r w:rsidR="00366CD2">
              <w:rPr>
                <w:rFonts w:cs="Arial"/>
              </w:rPr>
              <w:t>ir</w:t>
            </w:r>
            <w:r w:rsidR="00BD2077">
              <w:rPr>
                <w:rFonts w:cs="Arial"/>
              </w:rPr>
              <w:t xml:space="preserve"> TFAs, </w:t>
            </w:r>
            <w:r w:rsidR="007F4E89">
              <w:rPr>
                <w:rFonts w:cs="Arial"/>
              </w:rPr>
              <w:t>to provide an update</w:t>
            </w:r>
            <w:r w:rsidR="005D4985">
              <w:rPr>
                <w:rFonts w:cs="Arial"/>
              </w:rPr>
              <w:t xml:space="preserve"> on trusts in the </w:t>
            </w:r>
            <w:r w:rsidR="00511060">
              <w:rPr>
                <w:rFonts w:cs="Arial"/>
              </w:rPr>
              <w:t xml:space="preserve">Stage 2 DH Performance and </w:t>
            </w:r>
            <w:r w:rsidR="005D4985">
              <w:rPr>
                <w:rFonts w:cs="Arial"/>
              </w:rPr>
              <w:t>Escalation process</w:t>
            </w:r>
            <w:r w:rsidR="00DC57C2">
              <w:rPr>
                <w:rFonts w:cs="Arial"/>
              </w:rPr>
              <w:t xml:space="preserve"> </w:t>
            </w:r>
            <w:r w:rsidR="000D7CD8">
              <w:rPr>
                <w:rFonts w:cs="Arial"/>
              </w:rPr>
              <w:t>and</w:t>
            </w:r>
            <w:r w:rsidR="007F4E89">
              <w:rPr>
                <w:rFonts w:cs="Arial"/>
              </w:rPr>
              <w:t xml:space="preserve"> </w:t>
            </w:r>
            <w:r w:rsidR="00055328">
              <w:rPr>
                <w:rFonts w:cs="Arial"/>
              </w:rPr>
              <w:t>to provide an update</w:t>
            </w:r>
            <w:r w:rsidR="000D7CD8">
              <w:rPr>
                <w:rFonts w:cs="Arial"/>
              </w:rPr>
              <w:t xml:space="preserve"> regarding progress</w:t>
            </w:r>
            <w:r w:rsidR="00F81FF5">
              <w:rPr>
                <w:rFonts w:cs="Arial"/>
              </w:rPr>
              <w:t xml:space="preserve"> </w:t>
            </w:r>
            <w:r w:rsidR="009E39FF">
              <w:rPr>
                <w:rFonts w:cs="Arial"/>
              </w:rPr>
              <w:t>on the roll-out of Accountability Agreements</w:t>
            </w:r>
            <w:r w:rsidR="000D7CD8">
              <w:rPr>
                <w:rFonts w:cs="Arial"/>
              </w:rPr>
              <w:t xml:space="preserve"> to aspirant Foundation</w:t>
            </w:r>
            <w:r w:rsidR="00A227AB">
              <w:rPr>
                <w:rFonts w:cs="Arial"/>
              </w:rPr>
              <w:t xml:space="preserve"> </w:t>
            </w:r>
            <w:r w:rsidR="000D7CD8">
              <w:rPr>
                <w:rFonts w:cs="Arial"/>
              </w:rPr>
              <w:t>Trust</w:t>
            </w:r>
            <w:r w:rsidR="00212B70">
              <w:rPr>
                <w:rFonts w:cs="Arial"/>
              </w:rPr>
              <w:t>s</w:t>
            </w:r>
          </w:p>
        </w:tc>
      </w:tr>
      <w:tr w:rsidR="00D649F2" w:rsidRPr="002861F6" w:rsidTr="00EE41A7">
        <w:trPr>
          <w:jc w:val="center"/>
        </w:trPr>
        <w:tc>
          <w:tcPr>
            <w:tcW w:w="3119" w:type="dxa"/>
            <w:gridSpan w:val="3"/>
            <w:tcMar>
              <w:top w:w="108" w:type="dxa"/>
              <w:bottom w:w="108" w:type="dxa"/>
            </w:tcMar>
          </w:tcPr>
          <w:p w:rsidR="00D649F2" w:rsidRPr="002861F6" w:rsidRDefault="00D649F2" w:rsidP="00554A0A">
            <w:pPr>
              <w:pStyle w:val="Default"/>
              <w:rPr>
                <w:b/>
              </w:rPr>
            </w:pPr>
            <w:r>
              <w:rPr>
                <w:b/>
              </w:rPr>
              <w:t>Summary of recommendations:</w:t>
            </w:r>
          </w:p>
        </w:tc>
        <w:tc>
          <w:tcPr>
            <w:tcW w:w="7088" w:type="dxa"/>
            <w:gridSpan w:val="8"/>
            <w:tcMar>
              <w:top w:w="108" w:type="dxa"/>
              <w:bottom w:w="108" w:type="dxa"/>
            </w:tcMar>
          </w:tcPr>
          <w:p w:rsidR="00BD7F5E" w:rsidRDefault="00B75CE5" w:rsidP="00A76AEC">
            <w:pPr>
              <w:pStyle w:val="Default"/>
            </w:pPr>
            <w:r>
              <w:t xml:space="preserve">Provider Development </w:t>
            </w:r>
            <w:r w:rsidR="00A76AEC">
              <w:t>D</w:t>
            </w:r>
            <w:r>
              <w:t xml:space="preserve">irectorate is supported </w:t>
            </w:r>
            <w:r w:rsidR="0020590F">
              <w:t>in delivering the milestones in the TFAs and the  Accountability Agreements that underpin the TFAs</w:t>
            </w:r>
          </w:p>
        </w:tc>
      </w:tr>
      <w:tr w:rsidR="00D649F2" w:rsidRPr="002861F6" w:rsidTr="00EE41A7">
        <w:trPr>
          <w:jc w:val="center"/>
        </w:trPr>
        <w:tc>
          <w:tcPr>
            <w:tcW w:w="3119" w:type="dxa"/>
            <w:gridSpan w:val="3"/>
            <w:tcMar>
              <w:top w:w="108" w:type="dxa"/>
              <w:bottom w:w="108" w:type="dxa"/>
            </w:tcMar>
          </w:tcPr>
          <w:p w:rsidR="00D649F2" w:rsidRPr="008673CA" w:rsidRDefault="00D649F2" w:rsidP="00554A0A">
            <w:pPr>
              <w:pStyle w:val="Default"/>
              <w:rPr>
                <w:b/>
              </w:rPr>
            </w:pPr>
            <w:r w:rsidRPr="008673CA">
              <w:rPr>
                <w:b/>
              </w:rPr>
              <w:t xml:space="preserve">Fit with </w:t>
            </w:r>
            <w:r>
              <w:rPr>
                <w:b/>
              </w:rPr>
              <w:t>NHSL strategy</w:t>
            </w:r>
            <w:r w:rsidRPr="008673CA">
              <w:rPr>
                <w:b/>
              </w:rPr>
              <w:t>:</w:t>
            </w:r>
          </w:p>
        </w:tc>
        <w:tc>
          <w:tcPr>
            <w:tcW w:w="7088" w:type="dxa"/>
            <w:gridSpan w:val="8"/>
          </w:tcPr>
          <w:p w:rsidR="00D649F2" w:rsidRDefault="009749C0" w:rsidP="0086577E">
            <w:pPr>
              <w:pStyle w:val="Default"/>
            </w:pPr>
            <w:r>
              <w:t>This paper fits with the NHS London Priorit</w:t>
            </w:r>
            <w:r w:rsidR="00E9725B">
              <w:t>ies</w:t>
            </w:r>
            <w:r>
              <w:t xml:space="preserve"> – FT Solutions for remaining NHS </w:t>
            </w:r>
            <w:r w:rsidR="0086577E">
              <w:t>t</w:t>
            </w:r>
            <w:r>
              <w:t xml:space="preserve">rusts and </w:t>
            </w:r>
            <w:r w:rsidR="00B73A07">
              <w:t xml:space="preserve">TFA </w:t>
            </w:r>
            <w:r>
              <w:t xml:space="preserve"> Monitoring </w:t>
            </w:r>
          </w:p>
        </w:tc>
      </w:tr>
      <w:tr w:rsidR="00D649F2" w:rsidRPr="002861F6" w:rsidTr="00EE41A7">
        <w:trPr>
          <w:trHeight w:val="680"/>
          <w:jc w:val="center"/>
        </w:trPr>
        <w:tc>
          <w:tcPr>
            <w:tcW w:w="3119" w:type="dxa"/>
            <w:gridSpan w:val="3"/>
            <w:tcBorders>
              <w:bottom w:val="single" w:sz="4" w:space="0" w:color="000000"/>
            </w:tcBorders>
            <w:tcMar>
              <w:top w:w="108" w:type="dxa"/>
              <w:bottom w:w="108" w:type="dxa"/>
            </w:tcMar>
          </w:tcPr>
          <w:p w:rsidR="00D649F2" w:rsidRDefault="00D649F2" w:rsidP="00554A0A">
            <w:pPr>
              <w:pStyle w:val="Default"/>
              <w:rPr>
                <w:b/>
              </w:rPr>
            </w:pPr>
            <w:r>
              <w:rPr>
                <w:b/>
              </w:rPr>
              <w:t xml:space="preserve">Reference to </w:t>
            </w:r>
            <w:r w:rsidR="004C4457">
              <w:rPr>
                <w:b/>
              </w:rPr>
              <w:t xml:space="preserve">related / </w:t>
            </w:r>
            <w:r>
              <w:rPr>
                <w:b/>
              </w:rPr>
              <w:t>other documents:</w:t>
            </w:r>
          </w:p>
        </w:tc>
        <w:tc>
          <w:tcPr>
            <w:tcW w:w="7088" w:type="dxa"/>
            <w:gridSpan w:val="8"/>
            <w:tcBorders>
              <w:bottom w:val="single" w:sz="4" w:space="0" w:color="000000"/>
            </w:tcBorders>
          </w:tcPr>
          <w:p w:rsidR="00335D0C" w:rsidRDefault="00D63956" w:rsidP="00D410B9">
            <w:pPr>
              <w:pStyle w:val="Default"/>
            </w:pPr>
            <w:r>
              <w:t xml:space="preserve">Appendix </w:t>
            </w:r>
            <w:r w:rsidR="00D410B9">
              <w:t xml:space="preserve">1 </w:t>
            </w:r>
            <w:r>
              <w:t xml:space="preserve">TFA overall RAG ratings since June 2011; </w:t>
            </w:r>
            <w:r w:rsidR="000D7CD8">
              <w:t xml:space="preserve">Appendix </w:t>
            </w:r>
            <w:r w:rsidR="00D410B9">
              <w:t>2</w:t>
            </w:r>
            <w:r w:rsidR="000D7CD8">
              <w:t>– Stage 2 DH Escalation Meeting letter sent to Imperial Healthcare NHS Trust</w:t>
            </w:r>
            <w:r w:rsidR="001C5668">
              <w:t xml:space="preserve">; Appendix </w:t>
            </w:r>
            <w:r w:rsidR="00D410B9">
              <w:t xml:space="preserve">3 </w:t>
            </w:r>
            <w:r w:rsidR="001C5668">
              <w:t>– List of FT application submission dates and target authorisation dates</w:t>
            </w:r>
          </w:p>
        </w:tc>
      </w:tr>
      <w:tr w:rsidR="00D649F2" w:rsidRPr="002861F6" w:rsidTr="00EE41A7">
        <w:trPr>
          <w:jc w:val="center"/>
        </w:trPr>
        <w:tc>
          <w:tcPr>
            <w:tcW w:w="3119" w:type="dxa"/>
            <w:gridSpan w:val="3"/>
            <w:tcBorders>
              <w:bottom w:val="single" w:sz="4" w:space="0" w:color="000000"/>
            </w:tcBorders>
            <w:tcMar>
              <w:top w:w="108" w:type="dxa"/>
              <w:bottom w:w="108" w:type="dxa"/>
            </w:tcMar>
          </w:tcPr>
          <w:p w:rsidR="00D649F2" w:rsidRPr="008673CA" w:rsidRDefault="00D649F2" w:rsidP="00554A0A">
            <w:pPr>
              <w:pStyle w:val="Default"/>
              <w:rPr>
                <w:b/>
              </w:rPr>
            </w:pPr>
            <w:r>
              <w:rPr>
                <w:b/>
              </w:rPr>
              <w:t>Date paper completed:</w:t>
            </w:r>
          </w:p>
        </w:tc>
        <w:tc>
          <w:tcPr>
            <w:tcW w:w="7088" w:type="dxa"/>
            <w:gridSpan w:val="8"/>
            <w:tcBorders>
              <w:bottom w:val="single" w:sz="4" w:space="0" w:color="000000"/>
            </w:tcBorders>
          </w:tcPr>
          <w:p w:rsidR="00D649F2" w:rsidRPr="00026546" w:rsidRDefault="001D7713" w:rsidP="00BD7F5E">
            <w:pPr>
              <w:pStyle w:val="Default"/>
            </w:pPr>
            <w:r>
              <w:t>27 April 2012</w:t>
            </w:r>
          </w:p>
        </w:tc>
      </w:tr>
      <w:tr w:rsidR="00E1616B" w:rsidRPr="002861F6" w:rsidTr="00EE41A7">
        <w:trPr>
          <w:jc w:val="center"/>
        </w:trPr>
        <w:tc>
          <w:tcPr>
            <w:tcW w:w="3119" w:type="dxa"/>
            <w:gridSpan w:val="3"/>
            <w:tcBorders>
              <w:bottom w:val="single" w:sz="4" w:space="0" w:color="000000"/>
            </w:tcBorders>
            <w:tcMar>
              <w:top w:w="108" w:type="dxa"/>
              <w:bottom w:w="108" w:type="dxa"/>
            </w:tcMar>
          </w:tcPr>
          <w:p w:rsidR="00E1616B" w:rsidRDefault="00E1616B" w:rsidP="00554A0A">
            <w:pPr>
              <w:pStyle w:val="Default"/>
              <w:rPr>
                <w:b/>
              </w:rPr>
            </w:pPr>
            <w:r>
              <w:rPr>
                <w:b/>
              </w:rPr>
              <w:t>Other forums that have considered this paper:</w:t>
            </w:r>
          </w:p>
        </w:tc>
        <w:tc>
          <w:tcPr>
            <w:tcW w:w="7088" w:type="dxa"/>
            <w:gridSpan w:val="8"/>
            <w:tcBorders>
              <w:bottom w:val="single" w:sz="4" w:space="0" w:color="000000"/>
            </w:tcBorders>
          </w:tcPr>
          <w:p w:rsidR="00E1616B" w:rsidRDefault="009749C0" w:rsidP="00554A0A">
            <w:pPr>
              <w:pStyle w:val="Default"/>
            </w:pPr>
            <w:r>
              <w:t>N/A</w:t>
            </w:r>
          </w:p>
        </w:tc>
      </w:tr>
      <w:tr w:rsidR="00D649F2" w:rsidRPr="00AD2368" w:rsidTr="00EE41A7">
        <w:tblPrEx>
          <w:shd w:val="clear" w:color="auto" w:fill="E0E0E0"/>
          <w:tblLook w:val="01E0" w:firstRow="1" w:lastRow="1" w:firstColumn="1" w:lastColumn="1" w:noHBand="0" w:noVBand="0"/>
        </w:tblPrEx>
        <w:trPr>
          <w:jc w:val="center"/>
        </w:trPr>
        <w:tc>
          <w:tcPr>
            <w:tcW w:w="3075" w:type="dxa"/>
            <w:gridSpan w:val="2"/>
            <w:shd w:val="clear" w:color="auto" w:fill="E0E0E0"/>
          </w:tcPr>
          <w:p w:rsidR="00D649F2" w:rsidRPr="00AD2368" w:rsidRDefault="00D649F2" w:rsidP="00554A0A">
            <w:pPr>
              <w:rPr>
                <w:rFonts w:eastAsia="Cambria"/>
                <w:b/>
                <w:sz w:val="22"/>
                <w:szCs w:val="36"/>
              </w:rPr>
            </w:pPr>
            <w:r w:rsidRPr="00AD2368">
              <w:rPr>
                <w:rFonts w:eastAsia="Cambria"/>
                <w:b/>
                <w:sz w:val="22"/>
                <w:szCs w:val="36"/>
              </w:rPr>
              <w:t>Author name and title:</w:t>
            </w:r>
          </w:p>
        </w:tc>
        <w:tc>
          <w:tcPr>
            <w:tcW w:w="2227" w:type="dxa"/>
            <w:gridSpan w:val="3"/>
            <w:shd w:val="clear" w:color="auto" w:fill="E0E0E0"/>
          </w:tcPr>
          <w:p w:rsidR="00D649F2" w:rsidRPr="000F6B31" w:rsidRDefault="00682DE9" w:rsidP="00EE41A7">
            <w:pPr>
              <w:rPr>
                <w:rFonts w:eastAsia="Cambria"/>
                <w:b/>
                <w:sz w:val="20"/>
                <w:szCs w:val="20"/>
              </w:rPr>
            </w:pPr>
            <w:r>
              <w:rPr>
                <w:rFonts w:eastAsia="Cambria"/>
                <w:b/>
                <w:sz w:val="20"/>
                <w:szCs w:val="20"/>
              </w:rPr>
              <w:t>Deodita Fernandes</w:t>
            </w:r>
            <w:r w:rsidR="009749C0" w:rsidRPr="000F6B31">
              <w:rPr>
                <w:rFonts w:eastAsia="Cambria"/>
                <w:b/>
                <w:sz w:val="20"/>
                <w:szCs w:val="20"/>
              </w:rPr>
              <w:t xml:space="preserve">, </w:t>
            </w:r>
            <w:r w:rsidR="00EE41A7">
              <w:rPr>
                <w:rFonts w:eastAsia="Cambria"/>
                <w:b/>
                <w:sz w:val="20"/>
                <w:szCs w:val="20"/>
              </w:rPr>
              <w:t>Programme Manager, P</w:t>
            </w:r>
            <w:r w:rsidR="006E5115">
              <w:rPr>
                <w:rFonts w:eastAsia="Cambria"/>
                <w:b/>
                <w:sz w:val="20"/>
                <w:szCs w:val="20"/>
              </w:rPr>
              <w:t>rovider Development</w:t>
            </w:r>
          </w:p>
        </w:tc>
        <w:tc>
          <w:tcPr>
            <w:tcW w:w="2388" w:type="dxa"/>
            <w:gridSpan w:val="3"/>
            <w:shd w:val="clear" w:color="auto" w:fill="E0E0E0"/>
          </w:tcPr>
          <w:p w:rsidR="00D649F2" w:rsidRPr="00AD2368" w:rsidRDefault="00D649F2" w:rsidP="00AD0E23">
            <w:pPr>
              <w:rPr>
                <w:rFonts w:eastAsia="Cambria"/>
                <w:b/>
                <w:sz w:val="22"/>
                <w:szCs w:val="36"/>
              </w:rPr>
            </w:pPr>
            <w:r w:rsidRPr="00AD2368">
              <w:rPr>
                <w:rFonts w:eastAsia="Cambria"/>
                <w:b/>
                <w:sz w:val="22"/>
                <w:szCs w:val="36"/>
              </w:rPr>
              <w:t>Director name and title:</w:t>
            </w:r>
            <w:r w:rsidR="00B75CE5" w:rsidRPr="00AD2368">
              <w:rPr>
                <w:rFonts w:eastAsia="Cambria"/>
                <w:b/>
                <w:sz w:val="20"/>
                <w:szCs w:val="36"/>
              </w:rPr>
              <w:t xml:space="preserve"> </w:t>
            </w:r>
          </w:p>
        </w:tc>
        <w:tc>
          <w:tcPr>
            <w:tcW w:w="2517" w:type="dxa"/>
            <w:gridSpan w:val="3"/>
            <w:shd w:val="clear" w:color="auto" w:fill="E0E0E0"/>
          </w:tcPr>
          <w:p w:rsidR="00D649F2" w:rsidRPr="00AD2368" w:rsidRDefault="00AD0E23" w:rsidP="00554A0A">
            <w:pPr>
              <w:rPr>
                <w:rFonts w:eastAsia="Cambria"/>
                <w:b/>
                <w:sz w:val="20"/>
                <w:szCs w:val="36"/>
              </w:rPr>
            </w:pPr>
            <w:r w:rsidRPr="00AD2368">
              <w:rPr>
                <w:rFonts w:eastAsia="Cambria"/>
                <w:b/>
                <w:sz w:val="20"/>
                <w:szCs w:val="36"/>
              </w:rPr>
              <w:t>John Goulston, Regional Director of Provider Development</w:t>
            </w:r>
          </w:p>
        </w:tc>
      </w:tr>
      <w:tr w:rsidR="00D649F2" w:rsidRPr="00AD2368" w:rsidTr="00EE41A7">
        <w:tblPrEx>
          <w:shd w:val="clear" w:color="auto" w:fill="E0E0E0"/>
          <w:tblLook w:val="01E0" w:firstRow="1" w:lastRow="1" w:firstColumn="1" w:lastColumn="1" w:noHBand="0" w:noVBand="0"/>
        </w:tblPrEx>
        <w:trPr>
          <w:jc w:val="center"/>
        </w:trPr>
        <w:tc>
          <w:tcPr>
            <w:tcW w:w="2423" w:type="dxa"/>
            <w:shd w:val="clear" w:color="auto" w:fill="E0E0E0"/>
          </w:tcPr>
          <w:p w:rsidR="00AD0C86" w:rsidRPr="00AD2368" w:rsidRDefault="006C030E" w:rsidP="00554A0A">
            <w:pPr>
              <w:rPr>
                <w:rFonts w:eastAsia="Cambria"/>
                <w:b/>
                <w:sz w:val="20"/>
                <w:szCs w:val="36"/>
              </w:rPr>
            </w:pPr>
            <w:r w:rsidRPr="00AD2368">
              <w:rPr>
                <w:rFonts w:eastAsia="Cambria"/>
                <w:b/>
                <w:sz w:val="20"/>
                <w:szCs w:val="36"/>
              </w:rPr>
              <w:t>F</w:t>
            </w:r>
            <w:r w:rsidR="00E1616B" w:rsidRPr="00AD2368">
              <w:rPr>
                <w:rFonts w:eastAsia="Cambria"/>
                <w:b/>
                <w:sz w:val="20"/>
                <w:szCs w:val="36"/>
              </w:rPr>
              <w:t xml:space="preserve">or </w:t>
            </w:r>
            <w:r w:rsidR="00AD0C86" w:rsidRPr="00AD2368">
              <w:rPr>
                <w:rFonts w:eastAsia="Cambria"/>
                <w:b/>
                <w:sz w:val="20"/>
                <w:szCs w:val="36"/>
              </w:rPr>
              <w:t>EMT/ SSG</w:t>
            </w:r>
            <w:r w:rsidR="00E1616B" w:rsidRPr="00AD2368">
              <w:rPr>
                <w:rFonts w:eastAsia="Cambria"/>
                <w:b/>
                <w:sz w:val="20"/>
                <w:szCs w:val="36"/>
              </w:rPr>
              <w:t xml:space="preserve"> reports,</w:t>
            </w:r>
          </w:p>
          <w:p w:rsidR="00D649F2" w:rsidRPr="00AD2368" w:rsidRDefault="00D649F2" w:rsidP="00554A0A">
            <w:pPr>
              <w:rPr>
                <w:rFonts w:eastAsia="Cambria"/>
                <w:b/>
                <w:sz w:val="20"/>
                <w:szCs w:val="36"/>
              </w:rPr>
            </w:pPr>
            <w:r w:rsidRPr="00AD2368">
              <w:rPr>
                <w:rFonts w:eastAsia="Cambria"/>
                <w:b/>
                <w:sz w:val="20"/>
                <w:szCs w:val="36"/>
              </w:rPr>
              <w:t xml:space="preserve">Date paper seen by </w:t>
            </w:r>
            <w:r w:rsidR="00AD0C86" w:rsidRPr="00AD2368">
              <w:rPr>
                <w:rFonts w:eastAsia="Cambria"/>
                <w:b/>
                <w:sz w:val="20"/>
                <w:szCs w:val="36"/>
              </w:rPr>
              <w:t>SMT/ PDG</w:t>
            </w:r>
          </w:p>
        </w:tc>
        <w:tc>
          <w:tcPr>
            <w:tcW w:w="652" w:type="dxa"/>
            <w:shd w:val="clear" w:color="auto" w:fill="E0E0E0"/>
          </w:tcPr>
          <w:p w:rsidR="00D649F2" w:rsidRPr="00AD2368" w:rsidRDefault="00D649F2" w:rsidP="00554A0A">
            <w:pPr>
              <w:rPr>
                <w:rFonts w:eastAsia="Cambria"/>
                <w:b/>
                <w:sz w:val="20"/>
                <w:szCs w:val="36"/>
              </w:rPr>
            </w:pPr>
          </w:p>
        </w:tc>
        <w:tc>
          <w:tcPr>
            <w:tcW w:w="1395" w:type="dxa"/>
            <w:gridSpan w:val="2"/>
            <w:shd w:val="clear" w:color="auto" w:fill="E0E0E0"/>
          </w:tcPr>
          <w:p w:rsidR="00D649F2" w:rsidRPr="00AD2368" w:rsidRDefault="00D649F2" w:rsidP="00554A0A">
            <w:pPr>
              <w:rPr>
                <w:rFonts w:eastAsia="Cambria"/>
                <w:b/>
                <w:sz w:val="20"/>
                <w:szCs w:val="36"/>
              </w:rPr>
            </w:pPr>
            <w:r w:rsidRPr="00AD2368">
              <w:rPr>
                <w:rFonts w:eastAsia="Cambria"/>
                <w:b/>
                <w:sz w:val="20"/>
                <w:szCs w:val="36"/>
              </w:rPr>
              <w:t>Equality Impact Assessment complete?</w:t>
            </w:r>
          </w:p>
        </w:tc>
        <w:tc>
          <w:tcPr>
            <w:tcW w:w="832" w:type="dxa"/>
            <w:shd w:val="clear" w:color="auto" w:fill="E0E0E0"/>
          </w:tcPr>
          <w:p w:rsidR="00D649F2" w:rsidRPr="00AD2368" w:rsidRDefault="009749C0" w:rsidP="00554A0A">
            <w:pPr>
              <w:rPr>
                <w:rFonts w:eastAsia="Cambria"/>
                <w:b/>
                <w:sz w:val="20"/>
                <w:szCs w:val="36"/>
              </w:rPr>
            </w:pPr>
            <w:r w:rsidRPr="00AD2368">
              <w:rPr>
                <w:rFonts w:eastAsia="Cambria"/>
                <w:b/>
                <w:sz w:val="20"/>
                <w:szCs w:val="36"/>
              </w:rPr>
              <w:t>No</w:t>
            </w:r>
          </w:p>
        </w:tc>
        <w:tc>
          <w:tcPr>
            <w:tcW w:w="1464" w:type="dxa"/>
            <w:gridSpan w:val="2"/>
            <w:shd w:val="clear" w:color="auto" w:fill="E0E0E0"/>
          </w:tcPr>
          <w:p w:rsidR="00D649F2" w:rsidRPr="00AD2368" w:rsidRDefault="00D649F2" w:rsidP="00554A0A">
            <w:pPr>
              <w:rPr>
                <w:rFonts w:eastAsia="Cambria"/>
                <w:b/>
                <w:sz w:val="20"/>
                <w:szCs w:val="36"/>
              </w:rPr>
            </w:pPr>
            <w:r w:rsidRPr="00AD2368">
              <w:rPr>
                <w:rFonts w:eastAsia="Cambria"/>
                <w:b/>
                <w:sz w:val="20"/>
                <w:szCs w:val="36"/>
              </w:rPr>
              <w:t>Risk assessment undertaken?</w:t>
            </w:r>
          </w:p>
        </w:tc>
        <w:tc>
          <w:tcPr>
            <w:tcW w:w="924" w:type="dxa"/>
            <w:shd w:val="clear" w:color="auto" w:fill="E0E0E0"/>
          </w:tcPr>
          <w:p w:rsidR="00D649F2" w:rsidRPr="00AD2368" w:rsidRDefault="009749C0" w:rsidP="00554A0A">
            <w:pPr>
              <w:rPr>
                <w:rFonts w:eastAsia="Cambria"/>
                <w:b/>
                <w:sz w:val="20"/>
                <w:szCs w:val="36"/>
              </w:rPr>
            </w:pPr>
            <w:r w:rsidRPr="00AD2368">
              <w:rPr>
                <w:rFonts w:eastAsia="Cambria"/>
                <w:b/>
                <w:sz w:val="20"/>
                <w:szCs w:val="36"/>
              </w:rPr>
              <w:t>Yes</w:t>
            </w:r>
          </w:p>
        </w:tc>
        <w:tc>
          <w:tcPr>
            <w:tcW w:w="1410" w:type="dxa"/>
            <w:gridSpan w:val="2"/>
            <w:shd w:val="clear" w:color="auto" w:fill="E0E0E0"/>
          </w:tcPr>
          <w:p w:rsidR="00D649F2" w:rsidRPr="00AD2368" w:rsidRDefault="00D649F2" w:rsidP="00554A0A">
            <w:pPr>
              <w:rPr>
                <w:rFonts w:eastAsia="Cambria"/>
                <w:b/>
                <w:sz w:val="20"/>
                <w:szCs w:val="36"/>
              </w:rPr>
            </w:pPr>
            <w:r w:rsidRPr="00AD2368">
              <w:rPr>
                <w:rFonts w:eastAsia="Cambria"/>
                <w:b/>
                <w:sz w:val="20"/>
                <w:szCs w:val="36"/>
              </w:rPr>
              <w:t>Legal advice received?</w:t>
            </w:r>
          </w:p>
        </w:tc>
        <w:tc>
          <w:tcPr>
            <w:tcW w:w="1107" w:type="dxa"/>
            <w:shd w:val="clear" w:color="auto" w:fill="E0E0E0"/>
          </w:tcPr>
          <w:p w:rsidR="00D649F2" w:rsidRPr="00AD2368" w:rsidRDefault="009749C0" w:rsidP="00AD2368">
            <w:pPr>
              <w:jc w:val="center"/>
              <w:rPr>
                <w:rFonts w:eastAsia="Cambria"/>
                <w:b/>
                <w:sz w:val="20"/>
                <w:szCs w:val="36"/>
              </w:rPr>
            </w:pPr>
            <w:r w:rsidRPr="00AD2368">
              <w:rPr>
                <w:rFonts w:eastAsia="Cambria"/>
                <w:b/>
                <w:sz w:val="20"/>
                <w:szCs w:val="36"/>
              </w:rPr>
              <w:t>No</w:t>
            </w:r>
          </w:p>
        </w:tc>
      </w:tr>
    </w:tbl>
    <w:p w:rsidR="009D6787" w:rsidRDefault="009D6787" w:rsidP="00DF0F4A">
      <w:pPr>
        <w:jc w:val="center"/>
        <w:rPr>
          <w:rFonts w:cs="Arial"/>
          <w:b/>
          <w:sz w:val="32"/>
          <w:szCs w:val="32"/>
        </w:rPr>
        <w:sectPr w:rsidR="009D6787" w:rsidSect="0099764F">
          <w:headerReference w:type="default" r:id="rId9"/>
          <w:footerReference w:type="default" r:id="rId10"/>
          <w:headerReference w:type="first" r:id="rId11"/>
          <w:footerReference w:type="first" r:id="rId12"/>
          <w:pgSz w:w="11906" w:h="16838" w:code="9"/>
          <w:pgMar w:top="1440" w:right="720" w:bottom="709" w:left="720" w:header="720" w:footer="720" w:gutter="0"/>
          <w:cols w:space="720"/>
          <w:titlePg/>
        </w:sectPr>
      </w:pPr>
    </w:p>
    <w:p w:rsidR="00A5680A" w:rsidRDefault="00A5680A" w:rsidP="00A5680A">
      <w:pPr>
        <w:rPr>
          <w:rFonts w:cs="Arial"/>
          <w:b/>
        </w:rPr>
      </w:pPr>
      <w:r w:rsidRPr="00424D7D">
        <w:rPr>
          <w:rFonts w:cs="Arial"/>
          <w:b/>
        </w:rPr>
        <w:lastRenderedPageBreak/>
        <w:t>Update on Tripartite Formal Agreements (TFAs) and FT Solutions for all remaining trusts</w:t>
      </w:r>
    </w:p>
    <w:p w:rsidR="00780C14" w:rsidRDefault="00780C14" w:rsidP="00A5680A">
      <w:pPr>
        <w:rPr>
          <w:rFonts w:cs="Arial"/>
          <w:b/>
        </w:rPr>
      </w:pPr>
    </w:p>
    <w:p w:rsidR="00A5680A" w:rsidRDefault="00E120EA" w:rsidP="00A5680A">
      <w:pPr>
        <w:rPr>
          <w:rFonts w:cs="Arial"/>
          <w:b/>
        </w:rPr>
      </w:pPr>
      <w:r>
        <w:rPr>
          <w:rFonts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4982845</wp:posOffset>
                </wp:positionH>
                <wp:positionV relativeFrom="paragraph">
                  <wp:posOffset>102235</wp:posOffset>
                </wp:positionV>
                <wp:extent cx="749300" cy="218440"/>
                <wp:effectExtent l="10795" t="6985" r="1143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18440"/>
                        </a:xfrm>
                        <a:prstGeom prst="rect">
                          <a:avLst/>
                        </a:prstGeom>
                        <a:gradFill rotWithShape="0">
                          <a:gsLst>
                            <a:gs pos="0">
                              <a:srgbClr val="FFC000">
                                <a:alpha val="50000"/>
                              </a:srgbClr>
                            </a:gs>
                            <a:gs pos="100000">
                              <a:srgbClr val="FF0000"/>
                            </a:gs>
                          </a:gsLst>
                          <a:lin ang="2700000" scaled="1"/>
                        </a:gradFill>
                        <a:ln w="9525">
                          <a:solidFill>
                            <a:srgbClr val="000000"/>
                          </a:solidFill>
                          <a:miter lim="800000"/>
                          <a:headEnd/>
                          <a:tailEnd/>
                        </a:ln>
                      </wps:spPr>
                      <wps:txbx>
                        <w:txbxContent>
                          <w:p w:rsidR="005B3438" w:rsidRPr="00C42D44" w:rsidRDefault="005B3438" w:rsidP="00A568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2.35pt;margin-top:8.05pt;width:59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" fillcolor="#ffc000">
                <v:fill opacity=".5" color2="red" angle="45" focus="100%" type="gradient"/>
                <v:textbox>
                  <w:txbxContent>
                    <w:p w:rsidR="005B3438" w:rsidRPr="00C42D44" w:rsidRDefault="005B3438" w:rsidP="00A5680A"/>
                  </w:txbxContent>
                </v:textbox>
              </v:shape>
            </w:pict>
          </mc:Fallback>
        </mc:AlternateContent>
      </w:r>
    </w:p>
    <w:p w:rsidR="00A5680A" w:rsidRDefault="00A5680A" w:rsidP="00A5680A">
      <w:pPr>
        <w:jc w:val="center"/>
        <w:rPr>
          <w:rFonts w:cs="Arial"/>
          <w:b/>
        </w:rPr>
      </w:pPr>
      <w:r>
        <w:rPr>
          <w:rFonts w:cs="Arial"/>
          <w:b/>
          <w:color w:val="FF6600"/>
        </w:rPr>
        <w:t xml:space="preserve">RAG </w:t>
      </w:r>
      <w:r w:rsidRPr="001F6EF1">
        <w:rPr>
          <w:rFonts w:cs="Arial"/>
          <w:b/>
          <w:color w:val="FF6600"/>
        </w:rPr>
        <w:t>RATING</w:t>
      </w:r>
      <w:r>
        <w:rPr>
          <w:rFonts w:cs="Arial"/>
          <w:b/>
          <w:color w:val="FF6600"/>
        </w:rPr>
        <w:t xml:space="preserve"> FOR LONDON – AMBER/RED </w:t>
      </w:r>
    </w:p>
    <w:tbl>
      <w:tblPr>
        <w:tblStyle w:val="TableGrid"/>
        <w:tblW w:w="0" w:type="auto"/>
        <w:tblLook w:val="04A0" w:firstRow="1" w:lastRow="0" w:firstColumn="1" w:lastColumn="0" w:noHBand="0" w:noVBand="1"/>
      </w:tblPr>
      <w:tblGrid>
        <w:gridCol w:w="5408"/>
        <w:gridCol w:w="5274"/>
      </w:tblGrid>
      <w:tr w:rsidR="00A5680A" w:rsidRPr="002A2C87" w:rsidTr="00A5680A">
        <w:tc>
          <w:tcPr>
            <w:tcW w:w="7452" w:type="dxa"/>
          </w:tcPr>
          <w:p w:rsidR="00A5680A" w:rsidRPr="002A2C87" w:rsidRDefault="00A5680A" w:rsidP="00A5680A">
            <w:pPr>
              <w:rPr>
                <w:rFonts w:cs="Arial"/>
                <w:b/>
              </w:rPr>
            </w:pPr>
            <w:r w:rsidRPr="002A2C87">
              <w:rPr>
                <w:rFonts w:cs="Arial"/>
                <w:b/>
              </w:rPr>
              <w:t>Key achievements</w:t>
            </w:r>
          </w:p>
          <w:p w:rsidR="00A5680A" w:rsidRPr="00424D7D" w:rsidRDefault="00A5680A" w:rsidP="00A5680A">
            <w:pPr>
              <w:rPr>
                <w:rFonts w:cs="Arial"/>
                <w:sz w:val="22"/>
                <w:szCs w:val="22"/>
              </w:rPr>
            </w:pPr>
            <w:r w:rsidRPr="00424D7D">
              <w:rPr>
                <w:rFonts w:cs="Arial"/>
                <w:sz w:val="22"/>
                <w:szCs w:val="22"/>
              </w:rPr>
              <w:t xml:space="preserve">- </w:t>
            </w:r>
            <w:r w:rsidR="00276EE0">
              <w:rPr>
                <w:rFonts w:cs="Arial"/>
                <w:sz w:val="22"/>
                <w:szCs w:val="22"/>
              </w:rPr>
              <w:t>Royal Free was authorised as a Foundation Trust by Monitor on 1 April 2012</w:t>
            </w:r>
          </w:p>
          <w:p w:rsidR="00A5680A" w:rsidRDefault="00A5680A" w:rsidP="00A5680A">
            <w:pPr>
              <w:rPr>
                <w:rFonts w:cs="Arial"/>
                <w:sz w:val="22"/>
                <w:szCs w:val="22"/>
              </w:rPr>
            </w:pPr>
            <w:r w:rsidRPr="00424D7D">
              <w:rPr>
                <w:rFonts w:cs="Arial"/>
                <w:sz w:val="22"/>
                <w:szCs w:val="22"/>
              </w:rPr>
              <w:t xml:space="preserve">- </w:t>
            </w:r>
            <w:r>
              <w:rPr>
                <w:rFonts w:cs="Arial"/>
                <w:sz w:val="22"/>
                <w:szCs w:val="22"/>
              </w:rPr>
              <w:t>Establishment of Barts Health, the largest Trust in England, on 1 April, 2012 in line with the original merger plan</w:t>
            </w:r>
          </w:p>
          <w:p w:rsidR="00A5680A" w:rsidRDefault="00A5680A" w:rsidP="00A5680A">
            <w:pPr>
              <w:rPr>
                <w:rFonts w:cs="Arial"/>
                <w:sz w:val="22"/>
                <w:szCs w:val="22"/>
              </w:rPr>
            </w:pPr>
            <w:r w:rsidRPr="00424D7D">
              <w:rPr>
                <w:rFonts w:cs="Arial"/>
                <w:sz w:val="22"/>
                <w:szCs w:val="22"/>
              </w:rPr>
              <w:t xml:space="preserve">- </w:t>
            </w:r>
            <w:r>
              <w:rPr>
                <w:rFonts w:cs="Arial"/>
                <w:sz w:val="22"/>
                <w:szCs w:val="22"/>
              </w:rPr>
              <w:t>Accountability Agreements to underpin the TFAs signed with fifteen aspirant FTs</w:t>
            </w:r>
          </w:p>
          <w:p w:rsidR="00A5680A" w:rsidRPr="00102351" w:rsidRDefault="00A5680A" w:rsidP="00A5680A">
            <w:pPr>
              <w:rPr>
                <w:rFonts w:cs="Arial"/>
                <w:sz w:val="22"/>
                <w:szCs w:val="22"/>
              </w:rPr>
            </w:pPr>
            <w:r>
              <w:rPr>
                <w:rFonts w:cs="Arial"/>
                <w:sz w:val="22"/>
                <w:szCs w:val="22"/>
              </w:rPr>
              <w:t>- The outline business case for the Epsom &amp; St Helier transaction has been submitted and is currently being reviewed</w:t>
            </w:r>
          </w:p>
          <w:p w:rsidR="00A5680A" w:rsidRPr="002A2C87" w:rsidRDefault="00A5680A" w:rsidP="00A5680A">
            <w:pPr>
              <w:rPr>
                <w:rFonts w:cs="Arial"/>
                <w:b/>
              </w:rPr>
            </w:pPr>
          </w:p>
        </w:tc>
        <w:tc>
          <w:tcPr>
            <w:tcW w:w="7453" w:type="dxa"/>
          </w:tcPr>
          <w:p w:rsidR="00A5680A" w:rsidRPr="002727D3" w:rsidRDefault="00A5680A" w:rsidP="00A5680A">
            <w:pPr>
              <w:rPr>
                <w:rFonts w:cs="Arial"/>
                <w:b/>
              </w:rPr>
            </w:pPr>
            <w:r>
              <w:rPr>
                <w:rFonts w:cs="Arial"/>
                <w:b/>
              </w:rPr>
              <w:t>Next Steps</w:t>
            </w:r>
          </w:p>
          <w:p w:rsidR="00A5680A" w:rsidRPr="006E5115" w:rsidRDefault="00A5680A" w:rsidP="00A5680A">
            <w:pPr>
              <w:rPr>
                <w:rFonts w:cs="Arial"/>
                <w:sz w:val="22"/>
                <w:szCs w:val="22"/>
              </w:rPr>
            </w:pPr>
            <w:r>
              <w:rPr>
                <w:rFonts w:cs="Arial"/>
                <w:sz w:val="22"/>
                <w:szCs w:val="22"/>
              </w:rPr>
              <w:t>- To ensure that the Accountability Agreements with the remaining trusts are in place by end of May and monitor the agreements and TFAs going forward</w:t>
            </w:r>
          </w:p>
          <w:p w:rsidR="00A5680A" w:rsidRDefault="00A5680A" w:rsidP="00A5680A">
            <w:pPr>
              <w:rPr>
                <w:rFonts w:cs="Arial"/>
                <w:sz w:val="22"/>
                <w:szCs w:val="22"/>
              </w:rPr>
            </w:pPr>
            <w:r>
              <w:rPr>
                <w:rFonts w:cs="Arial"/>
                <w:sz w:val="22"/>
                <w:szCs w:val="22"/>
              </w:rPr>
              <w:t>- To ensure that the actions arising from the Stage 2 DH Performance and Escalation meetings are monitored</w:t>
            </w:r>
            <w:r w:rsidR="0077092E">
              <w:rPr>
                <w:rFonts w:cs="Arial"/>
                <w:sz w:val="22"/>
                <w:szCs w:val="22"/>
              </w:rPr>
              <w:t xml:space="preserve"> </w:t>
            </w:r>
          </w:p>
          <w:p w:rsidR="00A5680A" w:rsidRDefault="00A5680A" w:rsidP="00A5680A">
            <w:pPr>
              <w:rPr>
                <w:rFonts w:cs="Arial"/>
                <w:sz w:val="22"/>
                <w:szCs w:val="22"/>
              </w:rPr>
            </w:pPr>
            <w:r>
              <w:rPr>
                <w:rFonts w:cs="Arial"/>
                <w:sz w:val="22"/>
                <w:szCs w:val="22"/>
              </w:rPr>
              <w:t xml:space="preserve"> - Barts Health currently undertaking detailed planning for its FT trajectory with this forming an agenda item at the next Board meeting. The expectation is to conclude the Trust’s Account</w:t>
            </w:r>
            <w:r w:rsidR="001F0E6D">
              <w:rPr>
                <w:rFonts w:cs="Arial"/>
                <w:sz w:val="22"/>
                <w:szCs w:val="22"/>
              </w:rPr>
              <w:t>ability Agreement by the summer</w:t>
            </w:r>
          </w:p>
          <w:p w:rsidR="00A5680A" w:rsidRDefault="00A5680A" w:rsidP="00A5680A">
            <w:pPr>
              <w:rPr>
                <w:rFonts w:cs="Arial"/>
                <w:sz w:val="22"/>
                <w:szCs w:val="22"/>
              </w:rPr>
            </w:pPr>
            <w:r>
              <w:rPr>
                <w:rFonts w:cs="Arial"/>
                <w:sz w:val="22"/>
                <w:szCs w:val="22"/>
              </w:rPr>
              <w:t xml:space="preserve">- FBC for the Ealing </w:t>
            </w:r>
            <w:r w:rsidR="001C5668">
              <w:rPr>
                <w:rFonts w:cs="Arial"/>
                <w:sz w:val="22"/>
                <w:szCs w:val="22"/>
              </w:rPr>
              <w:t xml:space="preserve">Hospital </w:t>
            </w:r>
            <w:r>
              <w:rPr>
                <w:rFonts w:cs="Arial"/>
                <w:sz w:val="22"/>
                <w:szCs w:val="22"/>
              </w:rPr>
              <w:t xml:space="preserve">Trust  </w:t>
            </w:r>
            <w:r w:rsidR="0077092E">
              <w:rPr>
                <w:rFonts w:cs="Arial"/>
                <w:sz w:val="22"/>
                <w:szCs w:val="22"/>
              </w:rPr>
              <w:t xml:space="preserve">and </w:t>
            </w:r>
            <w:r>
              <w:rPr>
                <w:rFonts w:cs="Arial"/>
                <w:sz w:val="22"/>
                <w:szCs w:val="22"/>
              </w:rPr>
              <w:t xml:space="preserve"> NW London Hospitals Trust merger scheduled for the SHA Board meeting on 28 June 2012</w:t>
            </w:r>
          </w:p>
          <w:p w:rsidR="00A5680A" w:rsidRPr="006E5115" w:rsidRDefault="00A5680A" w:rsidP="00A5680A">
            <w:pPr>
              <w:rPr>
                <w:rFonts w:cs="Arial"/>
                <w:sz w:val="22"/>
                <w:szCs w:val="22"/>
              </w:rPr>
            </w:pPr>
            <w:r>
              <w:rPr>
                <w:rFonts w:cs="Arial"/>
                <w:sz w:val="22"/>
                <w:szCs w:val="22"/>
              </w:rPr>
              <w:t>- To contribute to the further development of the National Single Operating Model in reference to remaining four phases</w:t>
            </w:r>
            <w:r w:rsidR="00FD3A94">
              <w:rPr>
                <w:rFonts w:cs="Arial"/>
                <w:sz w:val="22"/>
                <w:szCs w:val="22"/>
              </w:rPr>
              <w:t xml:space="preserve"> e.g. M&amp;A assurance</w:t>
            </w:r>
          </w:p>
          <w:p w:rsidR="00A5680A" w:rsidRPr="006E5115" w:rsidRDefault="00A5680A" w:rsidP="00A5680A">
            <w:pPr>
              <w:rPr>
                <w:rFonts w:cs="Arial"/>
                <w:sz w:val="22"/>
                <w:szCs w:val="22"/>
              </w:rPr>
            </w:pPr>
            <w:r>
              <w:rPr>
                <w:rFonts w:cs="Arial"/>
                <w:sz w:val="22"/>
                <w:szCs w:val="22"/>
              </w:rPr>
              <w:t>- To work with the independent suppliers in relation to the Board Governance Assurance Framework self-assessments and effectively monitor action plans arising from these assessments</w:t>
            </w:r>
          </w:p>
          <w:p w:rsidR="00A5680A" w:rsidRPr="006E5115" w:rsidRDefault="00A5680A" w:rsidP="00A5680A">
            <w:pPr>
              <w:rPr>
                <w:rFonts w:cs="Arial"/>
                <w:sz w:val="22"/>
                <w:szCs w:val="22"/>
              </w:rPr>
            </w:pPr>
          </w:p>
        </w:tc>
      </w:tr>
      <w:tr w:rsidR="00A5680A" w:rsidRPr="002A2C87" w:rsidTr="00A5680A">
        <w:trPr>
          <w:trHeight w:val="1424"/>
        </w:trPr>
        <w:tc>
          <w:tcPr>
            <w:tcW w:w="7452" w:type="dxa"/>
            <w:vMerge w:val="restart"/>
          </w:tcPr>
          <w:p w:rsidR="00A5680A" w:rsidRDefault="00A5680A" w:rsidP="00A5680A">
            <w:pPr>
              <w:rPr>
                <w:rFonts w:cs="Arial"/>
                <w:b/>
              </w:rPr>
            </w:pPr>
            <w:r>
              <w:rPr>
                <w:rFonts w:cs="Arial"/>
                <w:b/>
              </w:rPr>
              <w:t>Risks/Mitigations (besides risks outlined in the SHA CRAF)</w:t>
            </w:r>
          </w:p>
          <w:p w:rsidR="00A5680A" w:rsidRDefault="00A5680A" w:rsidP="00A5680A">
            <w:pPr>
              <w:rPr>
                <w:rFonts w:cs="Arial"/>
                <w:sz w:val="22"/>
                <w:szCs w:val="22"/>
              </w:rPr>
            </w:pPr>
            <w:r w:rsidRPr="00035A31">
              <w:rPr>
                <w:rFonts w:cs="Arial"/>
                <w:sz w:val="22"/>
                <w:szCs w:val="22"/>
              </w:rPr>
              <w:t xml:space="preserve">- </w:t>
            </w:r>
            <w:r>
              <w:rPr>
                <w:rFonts w:cs="Arial"/>
                <w:sz w:val="22"/>
                <w:szCs w:val="22"/>
              </w:rPr>
              <w:t>Failure to gain s</w:t>
            </w:r>
            <w:r w:rsidRPr="00035A31">
              <w:rPr>
                <w:rFonts w:cs="Arial"/>
                <w:sz w:val="22"/>
                <w:szCs w:val="22"/>
              </w:rPr>
              <w:t xml:space="preserve">upport from the Clinical Commissioning Groups (CCGs) will halt the progress of aspirant FTs – working with the </w:t>
            </w:r>
          </w:p>
          <w:p w:rsidR="00A5680A" w:rsidRPr="00035A31" w:rsidRDefault="00A5680A" w:rsidP="00A5680A">
            <w:pPr>
              <w:rPr>
                <w:rFonts w:cs="Arial"/>
                <w:sz w:val="22"/>
                <w:szCs w:val="22"/>
              </w:rPr>
            </w:pPr>
            <w:r w:rsidRPr="00035A31">
              <w:rPr>
                <w:rFonts w:cs="Arial"/>
                <w:sz w:val="22"/>
                <w:szCs w:val="22"/>
              </w:rPr>
              <w:t xml:space="preserve">clusters to encourage </w:t>
            </w:r>
            <w:r>
              <w:rPr>
                <w:rFonts w:cs="Arial"/>
                <w:sz w:val="22"/>
                <w:szCs w:val="22"/>
              </w:rPr>
              <w:t xml:space="preserve">early </w:t>
            </w:r>
            <w:r w:rsidRPr="00035A31">
              <w:rPr>
                <w:rFonts w:cs="Arial"/>
                <w:sz w:val="22"/>
                <w:szCs w:val="22"/>
              </w:rPr>
              <w:t xml:space="preserve">engagement with CCGs </w:t>
            </w:r>
          </w:p>
          <w:p w:rsidR="00A5680A" w:rsidRDefault="00A5680A" w:rsidP="00A5680A">
            <w:pPr>
              <w:rPr>
                <w:rFonts w:cs="Arial"/>
                <w:sz w:val="22"/>
                <w:szCs w:val="22"/>
              </w:rPr>
            </w:pPr>
            <w:r w:rsidRPr="00035A31">
              <w:rPr>
                <w:rFonts w:cs="Arial"/>
                <w:sz w:val="22"/>
                <w:szCs w:val="22"/>
              </w:rPr>
              <w:t xml:space="preserve">- Staff turnover </w:t>
            </w:r>
            <w:r>
              <w:rPr>
                <w:rFonts w:cs="Arial"/>
                <w:sz w:val="22"/>
                <w:szCs w:val="22"/>
              </w:rPr>
              <w:t xml:space="preserve">within the SHA </w:t>
            </w:r>
            <w:r w:rsidRPr="00035A31">
              <w:rPr>
                <w:rFonts w:cs="Arial"/>
                <w:sz w:val="22"/>
                <w:szCs w:val="22"/>
              </w:rPr>
              <w:t xml:space="preserve">during transition may have an adverse impact on the </w:t>
            </w:r>
            <w:r>
              <w:rPr>
                <w:rFonts w:cs="Arial"/>
                <w:sz w:val="22"/>
                <w:szCs w:val="22"/>
              </w:rPr>
              <w:t xml:space="preserve">FT Solutions </w:t>
            </w:r>
            <w:r w:rsidRPr="00035A31">
              <w:rPr>
                <w:rFonts w:cs="Arial"/>
                <w:sz w:val="22"/>
                <w:szCs w:val="22"/>
              </w:rPr>
              <w:t xml:space="preserve">work of </w:t>
            </w:r>
            <w:r>
              <w:rPr>
                <w:rFonts w:cs="Arial"/>
                <w:sz w:val="22"/>
                <w:szCs w:val="22"/>
              </w:rPr>
              <w:t>NHS London</w:t>
            </w:r>
            <w:r w:rsidRPr="00035A31">
              <w:rPr>
                <w:rFonts w:cs="Arial"/>
                <w:sz w:val="22"/>
                <w:szCs w:val="22"/>
              </w:rPr>
              <w:t xml:space="preserve"> going </w:t>
            </w:r>
            <w:r>
              <w:rPr>
                <w:rFonts w:cs="Arial"/>
                <w:sz w:val="22"/>
                <w:szCs w:val="22"/>
              </w:rPr>
              <w:t>forward</w:t>
            </w:r>
          </w:p>
          <w:p w:rsidR="00A5680A" w:rsidRDefault="00A5680A" w:rsidP="00A5680A">
            <w:pPr>
              <w:rPr>
                <w:rFonts w:cs="Arial"/>
                <w:sz w:val="22"/>
                <w:szCs w:val="22"/>
              </w:rPr>
            </w:pPr>
            <w:r>
              <w:rPr>
                <w:rFonts w:cs="Arial"/>
                <w:sz w:val="22"/>
                <w:szCs w:val="22"/>
              </w:rPr>
              <w:t>-</w:t>
            </w:r>
            <w:r w:rsidRPr="00F22DC0">
              <w:rPr>
                <w:rFonts w:cs="Arial"/>
                <w:sz w:val="22"/>
                <w:szCs w:val="22"/>
              </w:rPr>
              <w:t>Management of the</w:t>
            </w:r>
            <w:r>
              <w:rPr>
                <w:rFonts w:cs="Arial"/>
                <w:sz w:val="22"/>
                <w:szCs w:val="22"/>
              </w:rPr>
              <w:t xml:space="preserve"> Barts Health integration and day 100 plans, including in particular staff consultation and movement of people across the three organisations in to the new structure. Detailed plans are now agreed and the Board is actively reviewing progress.</w:t>
            </w:r>
          </w:p>
          <w:p w:rsidR="00780C14" w:rsidRPr="00B06ACE" w:rsidRDefault="00780C14" w:rsidP="00A5680A">
            <w:pPr>
              <w:rPr>
                <w:rFonts w:cs="Arial"/>
                <w:sz w:val="22"/>
                <w:szCs w:val="22"/>
              </w:rPr>
            </w:pPr>
          </w:p>
        </w:tc>
        <w:tc>
          <w:tcPr>
            <w:tcW w:w="7453" w:type="dxa"/>
          </w:tcPr>
          <w:p w:rsidR="00A5680A" w:rsidRDefault="00A5680A" w:rsidP="00A5680A">
            <w:pPr>
              <w:rPr>
                <w:rFonts w:cs="Arial"/>
                <w:b/>
              </w:rPr>
            </w:pPr>
            <w:r>
              <w:rPr>
                <w:rFonts w:cs="Arial"/>
                <w:b/>
              </w:rPr>
              <w:t>Support required from the Delivery Group</w:t>
            </w:r>
          </w:p>
          <w:p w:rsidR="00A5680A" w:rsidRDefault="00A5680A" w:rsidP="00A5680A">
            <w:pPr>
              <w:rPr>
                <w:rFonts w:cs="Arial"/>
              </w:rPr>
            </w:pPr>
            <w:r>
              <w:rPr>
                <w:rFonts w:cs="Arial"/>
                <w:sz w:val="22"/>
                <w:szCs w:val="22"/>
              </w:rPr>
              <w:t>- Cluster &amp; CCG engagement and support in order to deliver the FT pipeline and M&amp;A transactions</w:t>
            </w:r>
          </w:p>
        </w:tc>
      </w:tr>
      <w:tr w:rsidR="00A5680A" w:rsidRPr="002A2C87" w:rsidTr="00A5680A">
        <w:trPr>
          <w:trHeight w:val="1423"/>
        </w:trPr>
        <w:tc>
          <w:tcPr>
            <w:tcW w:w="7452" w:type="dxa"/>
            <w:vMerge/>
          </w:tcPr>
          <w:p w:rsidR="00A5680A" w:rsidRDefault="00A5680A" w:rsidP="00A5680A">
            <w:pPr>
              <w:rPr>
                <w:rFonts w:cs="Arial"/>
                <w:b/>
              </w:rPr>
            </w:pPr>
          </w:p>
        </w:tc>
        <w:tc>
          <w:tcPr>
            <w:tcW w:w="7453" w:type="dxa"/>
          </w:tcPr>
          <w:p w:rsidR="00A5680A" w:rsidRDefault="00A5680A" w:rsidP="00A5680A">
            <w:pPr>
              <w:rPr>
                <w:rFonts w:cs="Arial"/>
                <w:b/>
              </w:rPr>
            </w:pPr>
            <w:r>
              <w:rPr>
                <w:rFonts w:cs="Arial"/>
                <w:b/>
              </w:rPr>
              <w:t>Dependencies</w:t>
            </w:r>
          </w:p>
          <w:p w:rsidR="00A5680A" w:rsidRDefault="00A5680A" w:rsidP="00A5680A">
            <w:pPr>
              <w:rPr>
                <w:rFonts w:cs="Arial"/>
              </w:rPr>
            </w:pPr>
            <w:r>
              <w:rPr>
                <w:rFonts w:cs="Arial"/>
                <w:sz w:val="22"/>
                <w:szCs w:val="22"/>
              </w:rPr>
              <w:t>- Cluster CSP/QIPP and service strategies which are currently in development may have an impact on trusts progressing with their FT applications</w:t>
            </w:r>
          </w:p>
        </w:tc>
      </w:tr>
    </w:tbl>
    <w:p w:rsidR="002A2C87" w:rsidRDefault="002A2C87" w:rsidP="009D6787">
      <w:pPr>
        <w:rPr>
          <w:rFonts w:cs="Arial"/>
          <w:b/>
          <w:sz w:val="32"/>
          <w:szCs w:val="32"/>
        </w:rPr>
      </w:pPr>
    </w:p>
    <w:p w:rsidR="001C5668" w:rsidRDefault="001C5668" w:rsidP="00424D7D">
      <w:pPr>
        <w:jc w:val="center"/>
        <w:rPr>
          <w:rFonts w:cs="Arial"/>
          <w:b/>
          <w:sz w:val="32"/>
          <w:szCs w:val="32"/>
        </w:rPr>
      </w:pPr>
    </w:p>
    <w:p w:rsidR="001C5668" w:rsidRDefault="001C5668" w:rsidP="00424D7D">
      <w:pPr>
        <w:jc w:val="center"/>
        <w:rPr>
          <w:rFonts w:cs="Arial"/>
          <w:b/>
          <w:sz w:val="32"/>
          <w:szCs w:val="32"/>
        </w:rPr>
      </w:pPr>
    </w:p>
    <w:p w:rsidR="00424D7D" w:rsidRDefault="00424D7D" w:rsidP="00424D7D">
      <w:pPr>
        <w:jc w:val="center"/>
        <w:rPr>
          <w:rFonts w:cs="Arial"/>
          <w:b/>
          <w:sz w:val="32"/>
          <w:szCs w:val="32"/>
        </w:rPr>
      </w:pPr>
      <w:r w:rsidRPr="00AA00B6">
        <w:rPr>
          <w:rFonts w:cs="Arial"/>
          <w:b/>
          <w:sz w:val="32"/>
          <w:szCs w:val="32"/>
        </w:rPr>
        <w:t>Update on Tripartite Formal Agreements (TFAs) and FT Solutions for all remaining trusts</w:t>
      </w:r>
    </w:p>
    <w:p w:rsidR="00417F04" w:rsidRPr="00AA00B6" w:rsidRDefault="00417F04" w:rsidP="00424D7D">
      <w:pPr>
        <w:jc w:val="center"/>
        <w:rPr>
          <w:rFonts w:cs="Arial"/>
          <w:b/>
          <w:sz w:val="32"/>
          <w:szCs w:val="32"/>
        </w:rPr>
      </w:pPr>
    </w:p>
    <w:p w:rsidR="008B442C" w:rsidRDefault="008B442C">
      <w:pPr>
        <w:jc w:val="both"/>
        <w:rPr>
          <w:rFonts w:cs="Arial"/>
          <w:b/>
        </w:rPr>
      </w:pPr>
    </w:p>
    <w:p w:rsidR="007243A6" w:rsidRPr="00417F04" w:rsidRDefault="00750FC2" w:rsidP="00067A0C">
      <w:pPr>
        <w:pStyle w:val="ListParagraph"/>
        <w:numPr>
          <w:ilvl w:val="0"/>
          <w:numId w:val="10"/>
        </w:numPr>
        <w:jc w:val="both"/>
        <w:rPr>
          <w:rFonts w:ascii="Arial" w:eastAsia="Times New Roman" w:hAnsi="Arial" w:cs="Arial"/>
          <w:b/>
          <w:sz w:val="28"/>
          <w:szCs w:val="28"/>
        </w:rPr>
      </w:pPr>
      <w:r w:rsidRPr="00417F04">
        <w:rPr>
          <w:rFonts w:ascii="Arial" w:eastAsia="Times New Roman" w:hAnsi="Arial" w:cs="Arial"/>
          <w:b/>
          <w:sz w:val="28"/>
          <w:szCs w:val="28"/>
        </w:rPr>
        <w:t>Introduction</w:t>
      </w:r>
      <w:r w:rsidR="0025182D" w:rsidRPr="00417F04">
        <w:rPr>
          <w:rFonts w:ascii="Arial" w:eastAsia="Times New Roman" w:hAnsi="Arial" w:cs="Arial"/>
          <w:b/>
          <w:sz w:val="28"/>
          <w:szCs w:val="28"/>
        </w:rPr>
        <w:t xml:space="preserve"> </w:t>
      </w:r>
    </w:p>
    <w:p w:rsidR="00AB27C4" w:rsidRPr="0035084B" w:rsidRDefault="002E609C">
      <w:pPr>
        <w:jc w:val="both"/>
        <w:rPr>
          <w:rFonts w:cs="Arial"/>
        </w:rPr>
      </w:pPr>
      <w:r>
        <w:rPr>
          <w:rFonts w:cs="Arial"/>
        </w:rPr>
        <w:tab/>
      </w:r>
      <w:r w:rsidR="00366CD2" w:rsidRPr="0035084B">
        <w:rPr>
          <w:rFonts w:cs="Arial"/>
        </w:rPr>
        <w:t>The main purpose of this paper is to highlight</w:t>
      </w:r>
      <w:r w:rsidR="00024875" w:rsidRPr="0035084B">
        <w:rPr>
          <w:rFonts w:cs="Arial"/>
        </w:rPr>
        <w:t>:</w:t>
      </w:r>
    </w:p>
    <w:p w:rsidR="00AB27C4" w:rsidRPr="0035084B" w:rsidRDefault="00AB27C4">
      <w:pPr>
        <w:jc w:val="both"/>
        <w:rPr>
          <w:rFonts w:cs="Arial"/>
        </w:rPr>
      </w:pPr>
    </w:p>
    <w:p w:rsidR="00AB27C4" w:rsidRDefault="00E75D29" w:rsidP="00067A0C">
      <w:pPr>
        <w:pStyle w:val="ListParagraph"/>
        <w:numPr>
          <w:ilvl w:val="0"/>
          <w:numId w:val="9"/>
        </w:numPr>
        <w:jc w:val="both"/>
        <w:rPr>
          <w:rFonts w:ascii="Arial" w:hAnsi="Arial" w:cs="Arial"/>
          <w:sz w:val="24"/>
          <w:szCs w:val="24"/>
        </w:rPr>
      </w:pPr>
      <w:r>
        <w:rPr>
          <w:rFonts w:ascii="Arial" w:hAnsi="Arial" w:cs="Arial"/>
          <w:sz w:val="24"/>
          <w:szCs w:val="24"/>
        </w:rPr>
        <w:t>t</w:t>
      </w:r>
      <w:r w:rsidR="00AB27C4" w:rsidRPr="0035084B">
        <w:rPr>
          <w:rFonts w:ascii="Arial" w:hAnsi="Arial" w:cs="Arial"/>
          <w:sz w:val="24"/>
          <w:szCs w:val="24"/>
        </w:rPr>
        <w:t xml:space="preserve">he progress made by </w:t>
      </w:r>
      <w:r w:rsidR="00BB511B">
        <w:rPr>
          <w:rFonts w:ascii="Arial" w:hAnsi="Arial" w:cs="Arial"/>
          <w:sz w:val="24"/>
          <w:szCs w:val="24"/>
        </w:rPr>
        <w:t>t</w:t>
      </w:r>
      <w:r w:rsidR="00A76205">
        <w:rPr>
          <w:rFonts w:ascii="Arial" w:hAnsi="Arial" w:cs="Arial"/>
          <w:sz w:val="24"/>
          <w:szCs w:val="24"/>
        </w:rPr>
        <w:t>rust</w:t>
      </w:r>
      <w:r w:rsidR="00AB27C4" w:rsidRPr="0035084B">
        <w:rPr>
          <w:rFonts w:ascii="Arial" w:hAnsi="Arial" w:cs="Arial"/>
          <w:sz w:val="24"/>
          <w:szCs w:val="24"/>
        </w:rPr>
        <w:t>s in relation to their TFAs;</w:t>
      </w:r>
    </w:p>
    <w:p w:rsidR="00424D7D" w:rsidRDefault="00424D7D" w:rsidP="00067A0C">
      <w:pPr>
        <w:pStyle w:val="ListParagraph"/>
        <w:numPr>
          <w:ilvl w:val="0"/>
          <w:numId w:val="9"/>
        </w:numPr>
        <w:jc w:val="both"/>
        <w:rPr>
          <w:rFonts w:ascii="Arial" w:hAnsi="Arial" w:cs="Arial"/>
          <w:sz w:val="24"/>
          <w:szCs w:val="24"/>
        </w:rPr>
      </w:pPr>
      <w:r>
        <w:rPr>
          <w:rFonts w:ascii="Arial" w:hAnsi="Arial" w:cs="Arial"/>
          <w:sz w:val="24"/>
          <w:szCs w:val="24"/>
        </w:rPr>
        <w:t xml:space="preserve">to provide an update </w:t>
      </w:r>
      <w:r w:rsidR="00AA00B6">
        <w:rPr>
          <w:rFonts w:ascii="Arial" w:hAnsi="Arial" w:cs="Arial"/>
          <w:sz w:val="24"/>
          <w:szCs w:val="24"/>
        </w:rPr>
        <w:t>re</w:t>
      </w:r>
      <w:r w:rsidR="000D7CD8">
        <w:rPr>
          <w:rFonts w:ascii="Arial" w:hAnsi="Arial" w:cs="Arial"/>
          <w:sz w:val="24"/>
          <w:szCs w:val="24"/>
        </w:rPr>
        <w:t>garding</w:t>
      </w:r>
      <w:r>
        <w:rPr>
          <w:rFonts w:ascii="Arial" w:hAnsi="Arial" w:cs="Arial"/>
          <w:sz w:val="24"/>
          <w:szCs w:val="24"/>
        </w:rPr>
        <w:t xml:space="preserve"> the trusts in the</w:t>
      </w:r>
      <w:r w:rsidR="000D7CD8">
        <w:rPr>
          <w:rFonts w:ascii="Arial" w:hAnsi="Arial" w:cs="Arial"/>
          <w:sz w:val="24"/>
          <w:szCs w:val="24"/>
        </w:rPr>
        <w:t xml:space="preserve"> Stage 2</w:t>
      </w:r>
      <w:r>
        <w:rPr>
          <w:rFonts w:ascii="Arial" w:hAnsi="Arial" w:cs="Arial"/>
          <w:sz w:val="24"/>
          <w:szCs w:val="24"/>
        </w:rPr>
        <w:t xml:space="preserve"> </w:t>
      </w:r>
      <w:r w:rsidR="00AA00B6">
        <w:rPr>
          <w:rFonts w:ascii="Arial" w:hAnsi="Arial" w:cs="Arial"/>
          <w:sz w:val="24"/>
          <w:szCs w:val="24"/>
        </w:rPr>
        <w:t xml:space="preserve">DH Performance and </w:t>
      </w:r>
      <w:r>
        <w:rPr>
          <w:rFonts w:ascii="Arial" w:hAnsi="Arial" w:cs="Arial"/>
          <w:sz w:val="24"/>
          <w:szCs w:val="24"/>
        </w:rPr>
        <w:t>Escalation pro</w:t>
      </w:r>
      <w:r w:rsidR="006D5A6F">
        <w:rPr>
          <w:rFonts w:ascii="Arial" w:hAnsi="Arial" w:cs="Arial"/>
          <w:sz w:val="24"/>
          <w:szCs w:val="24"/>
        </w:rPr>
        <w:t>c</w:t>
      </w:r>
      <w:r>
        <w:rPr>
          <w:rFonts w:ascii="Arial" w:hAnsi="Arial" w:cs="Arial"/>
          <w:sz w:val="24"/>
          <w:szCs w:val="24"/>
        </w:rPr>
        <w:t>ess</w:t>
      </w:r>
      <w:r w:rsidR="008A25F5">
        <w:rPr>
          <w:rFonts w:ascii="Arial" w:hAnsi="Arial" w:cs="Arial"/>
          <w:sz w:val="24"/>
          <w:szCs w:val="24"/>
        </w:rPr>
        <w:t>;</w:t>
      </w:r>
    </w:p>
    <w:p w:rsidR="00424D7D" w:rsidRDefault="00424D7D" w:rsidP="00067A0C">
      <w:pPr>
        <w:pStyle w:val="ListParagraph"/>
        <w:numPr>
          <w:ilvl w:val="0"/>
          <w:numId w:val="9"/>
        </w:numPr>
        <w:jc w:val="both"/>
        <w:rPr>
          <w:rFonts w:ascii="Arial" w:hAnsi="Arial" w:cs="Arial"/>
          <w:sz w:val="24"/>
          <w:szCs w:val="24"/>
        </w:rPr>
      </w:pPr>
      <w:r>
        <w:rPr>
          <w:rFonts w:ascii="Arial" w:hAnsi="Arial" w:cs="Arial"/>
          <w:sz w:val="24"/>
          <w:szCs w:val="24"/>
        </w:rPr>
        <w:t>to provide an update on the roll-out of the Accountability Agreement</w:t>
      </w:r>
      <w:r w:rsidR="00772C84">
        <w:rPr>
          <w:rFonts w:ascii="Arial" w:hAnsi="Arial" w:cs="Arial"/>
          <w:sz w:val="24"/>
          <w:szCs w:val="24"/>
        </w:rPr>
        <w:t xml:space="preserve"> to aspirant trusts in London</w:t>
      </w:r>
      <w:r w:rsidR="008A25F5">
        <w:rPr>
          <w:rFonts w:ascii="Arial" w:hAnsi="Arial" w:cs="Arial"/>
          <w:sz w:val="24"/>
          <w:szCs w:val="24"/>
        </w:rPr>
        <w:t>;</w:t>
      </w:r>
    </w:p>
    <w:p w:rsidR="008B442C" w:rsidRDefault="008B442C">
      <w:pPr>
        <w:jc w:val="both"/>
        <w:rPr>
          <w:rFonts w:cs="Arial"/>
        </w:rPr>
      </w:pPr>
      <w:bookmarkStart w:id="1" w:name="OLE_LINK1"/>
    </w:p>
    <w:p w:rsidR="008B442C" w:rsidRDefault="00750FC2">
      <w:pPr>
        <w:jc w:val="both"/>
        <w:rPr>
          <w:rFonts w:cs="Arial"/>
          <w:b/>
          <w:sz w:val="28"/>
          <w:szCs w:val="28"/>
        </w:rPr>
      </w:pPr>
      <w:r>
        <w:rPr>
          <w:rFonts w:cs="Arial"/>
          <w:b/>
          <w:sz w:val="28"/>
          <w:szCs w:val="28"/>
        </w:rPr>
        <w:t>2</w:t>
      </w:r>
      <w:r w:rsidRPr="00F10E08">
        <w:rPr>
          <w:rFonts w:cs="Arial"/>
          <w:b/>
          <w:sz w:val="28"/>
          <w:szCs w:val="28"/>
        </w:rPr>
        <w:tab/>
      </w:r>
      <w:r w:rsidR="00E612F5">
        <w:rPr>
          <w:rFonts w:cs="Arial"/>
          <w:b/>
          <w:sz w:val="28"/>
          <w:szCs w:val="28"/>
        </w:rPr>
        <w:t xml:space="preserve">DH Monitoring of TFAs and </w:t>
      </w:r>
      <w:r w:rsidR="001174A5">
        <w:rPr>
          <w:rFonts w:cs="Arial"/>
          <w:b/>
          <w:sz w:val="28"/>
          <w:szCs w:val="28"/>
        </w:rPr>
        <w:t>progress made by Trusts</w:t>
      </w:r>
    </w:p>
    <w:p w:rsidR="000C360B" w:rsidRPr="007243A6" w:rsidRDefault="007243A6">
      <w:pPr>
        <w:jc w:val="both"/>
        <w:rPr>
          <w:rFonts w:cs="Arial"/>
        </w:rPr>
      </w:pPr>
      <w:r w:rsidRPr="007243A6">
        <w:rPr>
          <w:rFonts w:cs="Arial"/>
          <w:b/>
        </w:rPr>
        <w:t>2.1</w:t>
      </w:r>
      <w:r w:rsidR="000C360B" w:rsidRPr="007243A6">
        <w:rPr>
          <w:rFonts w:cs="Arial"/>
          <w:b/>
        </w:rPr>
        <w:tab/>
      </w:r>
      <w:r w:rsidR="009C66FA" w:rsidRPr="007243A6">
        <w:rPr>
          <w:rFonts w:cs="Arial"/>
        </w:rPr>
        <w:t>As per the DH monitoring of TFAs</w:t>
      </w:r>
      <w:r w:rsidR="00212B70">
        <w:rPr>
          <w:rFonts w:cs="Arial"/>
        </w:rPr>
        <w:t xml:space="preserve"> -</w:t>
      </w:r>
      <w:r w:rsidR="00192F80">
        <w:rPr>
          <w:rFonts w:cs="Arial"/>
        </w:rPr>
        <w:t xml:space="preserve"> </w:t>
      </w:r>
      <w:r w:rsidR="00212B70" w:rsidRPr="00212B70">
        <w:rPr>
          <w:rFonts w:cs="Arial"/>
          <w:b/>
        </w:rPr>
        <w:t xml:space="preserve">Appendix </w:t>
      </w:r>
      <w:r w:rsidR="005959FB">
        <w:rPr>
          <w:rFonts w:cs="Arial"/>
          <w:b/>
        </w:rPr>
        <w:t>1</w:t>
      </w:r>
      <w:r w:rsidR="005959FB">
        <w:rPr>
          <w:rFonts w:cs="Arial"/>
        </w:rPr>
        <w:t xml:space="preserve"> </w:t>
      </w:r>
      <w:r w:rsidR="00192F80">
        <w:rPr>
          <w:rFonts w:cs="Arial"/>
        </w:rPr>
        <w:t xml:space="preserve">- </w:t>
      </w:r>
      <w:r w:rsidR="00212B70">
        <w:rPr>
          <w:rFonts w:cs="Arial"/>
        </w:rPr>
        <w:t xml:space="preserve">TFA overall RAG ratings, </w:t>
      </w:r>
      <w:r w:rsidRPr="007243A6">
        <w:rPr>
          <w:rFonts w:cs="Arial"/>
        </w:rPr>
        <w:t>t</w:t>
      </w:r>
      <w:r w:rsidR="00E612F5">
        <w:rPr>
          <w:rFonts w:cs="Arial"/>
        </w:rPr>
        <w:t xml:space="preserve">here has </w:t>
      </w:r>
      <w:r w:rsidR="00192F80">
        <w:rPr>
          <w:rFonts w:cs="Arial"/>
        </w:rPr>
        <w:tab/>
      </w:r>
      <w:r w:rsidR="00E612F5">
        <w:rPr>
          <w:rFonts w:cs="Arial"/>
        </w:rPr>
        <w:t xml:space="preserve">been an adverse change in the </w:t>
      </w:r>
      <w:r w:rsidR="00212B70">
        <w:rPr>
          <w:rFonts w:cs="Arial"/>
        </w:rPr>
        <w:tab/>
      </w:r>
      <w:r w:rsidR="00E612F5">
        <w:rPr>
          <w:rFonts w:cs="Arial"/>
        </w:rPr>
        <w:t xml:space="preserve">overall TFA ratings for the following </w:t>
      </w:r>
      <w:r w:rsidR="00D04024">
        <w:rPr>
          <w:rFonts w:cs="Arial"/>
        </w:rPr>
        <w:t xml:space="preserve">three </w:t>
      </w:r>
      <w:r w:rsidR="00E612F5">
        <w:rPr>
          <w:rFonts w:cs="Arial"/>
        </w:rPr>
        <w:t>trusts:</w:t>
      </w:r>
    </w:p>
    <w:p w:rsidR="007243A6" w:rsidRDefault="007243A6">
      <w:pPr>
        <w:jc w:val="both"/>
        <w:rPr>
          <w:rFonts w:cs="Arial"/>
          <w:sz w:val="28"/>
          <w:szCs w:val="28"/>
        </w:rPr>
      </w:pPr>
      <w:r>
        <w:rPr>
          <w:rFonts w:cs="Arial"/>
          <w:sz w:val="28"/>
          <w:szCs w:val="28"/>
        </w:rPr>
        <w:tab/>
      </w:r>
    </w:p>
    <w:p w:rsidR="007243A6" w:rsidRDefault="007243A6">
      <w:pPr>
        <w:jc w:val="both"/>
        <w:rPr>
          <w:rFonts w:cs="Arial"/>
          <w:sz w:val="28"/>
          <w:szCs w:val="28"/>
        </w:rPr>
      </w:pPr>
      <w:r w:rsidRPr="00AB5D3F">
        <w:rPr>
          <w:rFonts w:cs="Arial"/>
          <w:b/>
        </w:rPr>
        <w:t xml:space="preserve">2.1.1   </w:t>
      </w:r>
      <w:r w:rsidR="00473F10">
        <w:rPr>
          <w:rFonts w:cs="Arial"/>
          <w:b/>
        </w:rPr>
        <w:t>The Whittington Hospital NHS Trust</w:t>
      </w:r>
    </w:p>
    <w:p w:rsidR="008B442C" w:rsidRPr="00623558" w:rsidRDefault="007243A6" w:rsidP="00685707">
      <w:pPr>
        <w:jc w:val="both"/>
        <w:rPr>
          <w:rFonts w:cs="Arial"/>
        </w:rPr>
      </w:pPr>
      <w:r>
        <w:rPr>
          <w:rFonts w:cs="Arial"/>
          <w:sz w:val="28"/>
          <w:szCs w:val="28"/>
        </w:rPr>
        <w:tab/>
      </w:r>
      <w:r w:rsidRPr="007243A6">
        <w:rPr>
          <w:rFonts w:cs="Arial"/>
        </w:rPr>
        <w:t xml:space="preserve">The overall rating changed from </w:t>
      </w:r>
      <w:r w:rsidR="001C5668">
        <w:rPr>
          <w:rFonts w:cs="Arial"/>
        </w:rPr>
        <w:t xml:space="preserve">Green to </w:t>
      </w:r>
      <w:r w:rsidR="00E612F5" w:rsidRPr="001C5668">
        <w:rPr>
          <w:rFonts w:cs="Arial"/>
          <w:b/>
          <w:i/>
          <w:color w:val="FF0000"/>
        </w:rPr>
        <w:t>Amber/</w:t>
      </w:r>
      <w:r w:rsidRPr="001C5668">
        <w:rPr>
          <w:rFonts w:cs="Arial"/>
          <w:b/>
          <w:i/>
          <w:color w:val="FF0000"/>
        </w:rPr>
        <w:t>Green</w:t>
      </w:r>
      <w:r w:rsidR="001C5668">
        <w:rPr>
          <w:rFonts w:cs="Arial"/>
          <w:i/>
        </w:rPr>
        <w:t xml:space="preserve"> in March 2012 and </w:t>
      </w:r>
      <w:r w:rsidR="00623558">
        <w:rPr>
          <w:rFonts w:cs="Arial"/>
          <w:i/>
        </w:rPr>
        <w:t xml:space="preserve">then </w:t>
      </w:r>
      <w:r w:rsidR="00623558" w:rsidRPr="00050FE4">
        <w:rPr>
          <w:rFonts w:cs="Arial"/>
          <w:i/>
        </w:rPr>
        <w:t>to</w:t>
      </w:r>
      <w:r w:rsidRPr="00050FE4">
        <w:rPr>
          <w:rFonts w:cs="Arial"/>
          <w:i/>
        </w:rPr>
        <w:t xml:space="preserve"> </w:t>
      </w:r>
      <w:r w:rsidR="001C5668">
        <w:rPr>
          <w:rFonts w:cs="Arial"/>
          <w:i/>
        </w:rPr>
        <w:tab/>
      </w:r>
      <w:r w:rsidR="00473F10">
        <w:rPr>
          <w:rFonts w:cs="Arial"/>
          <w:b/>
          <w:i/>
          <w:color w:val="FF0000"/>
        </w:rPr>
        <w:t>Amber</w:t>
      </w:r>
      <w:r w:rsidR="001C5668">
        <w:rPr>
          <w:rFonts w:cs="Arial"/>
          <w:b/>
          <w:i/>
          <w:color w:val="FF0000"/>
        </w:rPr>
        <w:t>/</w:t>
      </w:r>
      <w:r w:rsidR="00473F10">
        <w:rPr>
          <w:rFonts w:cs="Arial"/>
          <w:b/>
          <w:i/>
          <w:color w:val="FF0000"/>
        </w:rPr>
        <w:t>Red</w:t>
      </w:r>
      <w:r w:rsidR="001C5668">
        <w:rPr>
          <w:rFonts w:cs="Arial"/>
          <w:b/>
          <w:i/>
          <w:color w:val="FF0000"/>
        </w:rPr>
        <w:t xml:space="preserve"> </w:t>
      </w:r>
      <w:r w:rsidR="001C5668" w:rsidRPr="00623558">
        <w:rPr>
          <w:rFonts w:cs="Arial"/>
          <w:i/>
        </w:rPr>
        <w:t>in April 2012</w:t>
      </w:r>
    </w:p>
    <w:p w:rsidR="000F353F" w:rsidRDefault="007243A6">
      <w:pPr>
        <w:ind w:left="720" w:hanging="720"/>
        <w:jc w:val="both"/>
        <w:rPr>
          <w:rFonts w:cs="Arial"/>
        </w:rPr>
      </w:pPr>
      <w:r>
        <w:rPr>
          <w:rFonts w:cs="Arial"/>
          <w:sz w:val="22"/>
          <w:szCs w:val="22"/>
        </w:rPr>
        <w:tab/>
      </w:r>
      <w:r w:rsidR="00EF2403" w:rsidRPr="00EF2403">
        <w:rPr>
          <w:rFonts w:cs="Arial"/>
        </w:rPr>
        <w:t xml:space="preserve">During the discussions to finalise the Accountability Agreement for the Trust, </w:t>
      </w:r>
      <w:r w:rsidR="00F95A52">
        <w:rPr>
          <w:rFonts w:cs="Arial"/>
        </w:rPr>
        <w:t>the Trust and NHS London have agreed that there will be a slippage of around three months in relation to the submission of the Trust’s FT application to DH.  This is to ensure that the steps in the FT Assurance phase of the Single Operating Model are mapped to the Trust’s Accountability Agreement.</w:t>
      </w:r>
    </w:p>
    <w:p w:rsidR="007243A6" w:rsidRDefault="007243A6">
      <w:pPr>
        <w:jc w:val="both"/>
        <w:rPr>
          <w:rFonts w:cs="Arial"/>
        </w:rPr>
      </w:pPr>
    </w:p>
    <w:p w:rsidR="007243A6" w:rsidRDefault="007243A6">
      <w:pPr>
        <w:jc w:val="both"/>
        <w:rPr>
          <w:rFonts w:cs="Arial"/>
          <w:b/>
        </w:rPr>
      </w:pPr>
      <w:r w:rsidRPr="007243A6">
        <w:rPr>
          <w:rFonts w:cs="Arial"/>
          <w:b/>
        </w:rPr>
        <w:t>2.1.2</w:t>
      </w:r>
      <w:r>
        <w:rPr>
          <w:rFonts w:cs="Arial"/>
          <w:b/>
        </w:rPr>
        <w:tab/>
      </w:r>
      <w:r w:rsidR="00473F10">
        <w:rPr>
          <w:rFonts w:cs="Arial"/>
          <w:b/>
        </w:rPr>
        <w:t xml:space="preserve">Kingston Hospital NHS Trust </w:t>
      </w:r>
    </w:p>
    <w:p w:rsidR="00050FE4" w:rsidRPr="00050FE4" w:rsidRDefault="00050FE4">
      <w:pPr>
        <w:jc w:val="both"/>
        <w:rPr>
          <w:rFonts w:cs="Arial"/>
          <w:i/>
        </w:rPr>
      </w:pPr>
      <w:r>
        <w:rPr>
          <w:rFonts w:cs="Arial"/>
          <w:b/>
        </w:rPr>
        <w:tab/>
      </w:r>
      <w:r w:rsidRPr="00050FE4">
        <w:rPr>
          <w:rFonts w:cs="Arial"/>
        </w:rPr>
        <w:t xml:space="preserve">The overall TFA </w:t>
      </w:r>
      <w:r w:rsidR="00296F9D" w:rsidRPr="00050FE4">
        <w:rPr>
          <w:rFonts w:cs="Arial"/>
        </w:rPr>
        <w:t>rating</w:t>
      </w:r>
      <w:r w:rsidR="00296F9D">
        <w:rPr>
          <w:rFonts w:cs="Arial"/>
        </w:rPr>
        <w:t xml:space="preserve"> </w:t>
      </w:r>
      <w:r w:rsidR="00296F9D" w:rsidRPr="00050FE4">
        <w:rPr>
          <w:rFonts w:cs="Arial"/>
        </w:rPr>
        <w:t>changed</w:t>
      </w:r>
      <w:r w:rsidRPr="00050FE4">
        <w:rPr>
          <w:rFonts w:cs="Arial"/>
        </w:rPr>
        <w:t xml:space="preserve"> from </w:t>
      </w:r>
      <w:r w:rsidR="001C5668">
        <w:rPr>
          <w:rFonts w:cs="Arial"/>
        </w:rPr>
        <w:t xml:space="preserve">Green to </w:t>
      </w:r>
      <w:r w:rsidR="00473F10" w:rsidRPr="001C5668">
        <w:rPr>
          <w:rFonts w:cs="Arial"/>
          <w:b/>
          <w:i/>
          <w:color w:val="FF0000"/>
        </w:rPr>
        <w:t>Amber/</w:t>
      </w:r>
      <w:r w:rsidR="00F95A52" w:rsidRPr="001C5668">
        <w:rPr>
          <w:rFonts w:cs="Arial"/>
          <w:b/>
          <w:i/>
          <w:color w:val="FF0000"/>
        </w:rPr>
        <w:t>Red</w:t>
      </w:r>
      <w:r w:rsidR="001C5668">
        <w:rPr>
          <w:rFonts w:cs="Arial"/>
          <w:i/>
        </w:rPr>
        <w:t xml:space="preserve"> in March 2012 and </w:t>
      </w:r>
      <w:r w:rsidR="00623558">
        <w:rPr>
          <w:rFonts w:cs="Arial"/>
          <w:i/>
        </w:rPr>
        <w:t>then to</w:t>
      </w:r>
      <w:r w:rsidRPr="00050FE4">
        <w:rPr>
          <w:rFonts w:cs="Arial"/>
          <w:i/>
        </w:rPr>
        <w:t xml:space="preserve"> </w:t>
      </w:r>
      <w:r w:rsidR="001C5668">
        <w:rPr>
          <w:rFonts w:cs="Arial"/>
          <w:i/>
        </w:rPr>
        <w:tab/>
      </w:r>
      <w:r w:rsidRPr="007E79A8">
        <w:rPr>
          <w:rFonts w:cs="Arial"/>
          <w:b/>
          <w:i/>
          <w:color w:val="FF0000"/>
        </w:rPr>
        <w:t>Red</w:t>
      </w:r>
      <w:r w:rsidR="001C5668">
        <w:rPr>
          <w:rFonts w:cs="Arial"/>
          <w:b/>
          <w:i/>
          <w:color w:val="FF0000"/>
        </w:rPr>
        <w:t xml:space="preserve"> </w:t>
      </w:r>
      <w:r w:rsidR="001C5668">
        <w:rPr>
          <w:rFonts w:cs="Arial"/>
          <w:i/>
        </w:rPr>
        <w:t>in April 2012</w:t>
      </w:r>
    </w:p>
    <w:p w:rsidR="00F95A52" w:rsidRDefault="00F95A52" w:rsidP="002160ED">
      <w:pPr>
        <w:ind w:left="720"/>
        <w:jc w:val="both"/>
        <w:rPr>
          <w:rFonts w:cs="Arial"/>
        </w:rPr>
      </w:pPr>
      <w:r>
        <w:rPr>
          <w:rFonts w:cs="Arial"/>
        </w:rPr>
        <w:t xml:space="preserve">The Trust missed its FT application submission date of 1 March 2012. The reason for this delay is the Independent Quality Governance review which gave the Trust a score of 4.5. (For any application to progress to DH stage </w:t>
      </w:r>
      <w:r w:rsidR="001875D0">
        <w:rPr>
          <w:rFonts w:cs="Arial"/>
        </w:rPr>
        <w:t xml:space="preserve">the trust </w:t>
      </w:r>
      <w:r>
        <w:rPr>
          <w:rFonts w:cs="Arial"/>
        </w:rPr>
        <w:t xml:space="preserve">has to </w:t>
      </w:r>
      <w:r w:rsidR="001875D0">
        <w:rPr>
          <w:rFonts w:cs="Arial"/>
        </w:rPr>
        <w:t xml:space="preserve">receive a </w:t>
      </w:r>
      <w:r>
        <w:rPr>
          <w:rFonts w:cs="Arial"/>
        </w:rPr>
        <w:t>score of under 4</w:t>
      </w:r>
      <w:r w:rsidR="001875D0">
        <w:rPr>
          <w:rFonts w:cs="Arial"/>
        </w:rPr>
        <w:t xml:space="preserve"> from the independent consultants</w:t>
      </w:r>
      <w:r>
        <w:rPr>
          <w:rFonts w:cs="Arial"/>
        </w:rPr>
        <w:t xml:space="preserve">). The Trust has </w:t>
      </w:r>
      <w:r w:rsidR="001C5668">
        <w:rPr>
          <w:rFonts w:cs="Arial"/>
        </w:rPr>
        <w:t xml:space="preserve">completed a number of </w:t>
      </w:r>
      <w:r>
        <w:rPr>
          <w:rFonts w:cs="Arial"/>
        </w:rPr>
        <w:t xml:space="preserve">actions recommended </w:t>
      </w:r>
      <w:r w:rsidR="001C5668">
        <w:rPr>
          <w:rFonts w:cs="Arial"/>
        </w:rPr>
        <w:t xml:space="preserve">in the </w:t>
      </w:r>
      <w:r w:rsidR="00623558">
        <w:rPr>
          <w:rFonts w:cs="Arial"/>
        </w:rPr>
        <w:t>report and</w:t>
      </w:r>
      <w:r w:rsidR="001875D0">
        <w:rPr>
          <w:rFonts w:cs="Arial"/>
        </w:rPr>
        <w:t xml:space="preserve"> has</w:t>
      </w:r>
      <w:r w:rsidR="001C5668">
        <w:rPr>
          <w:rFonts w:cs="Arial"/>
        </w:rPr>
        <w:t xml:space="preserve"> now</w:t>
      </w:r>
      <w:r w:rsidR="001875D0">
        <w:rPr>
          <w:rFonts w:cs="Arial"/>
        </w:rPr>
        <w:t xml:space="preserve"> been reviewed by the consultants</w:t>
      </w:r>
      <w:r w:rsidR="000F353F">
        <w:rPr>
          <w:rFonts w:cs="Arial"/>
        </w:rPr>
        <w:t xml:space="preserve"> who have confirmed a score of 3.5. Following this confirmation, Chairman’s action by the Capital Investment Committee (CIC) has been sought and subsequently provided.  Kingston’s FT application will be submitted to DH on 1 May 2012.</w:t>
      </w:r>
      <w:r>
        <w:rPr>
          <w:rFonts w:cs="Arial"/>
        </w:rPr>
        <w:t xml:space="preserve"> </w:t>
      </w:r>
    </w:p>
    <w:p w:rsidR="00A552BF" w:rsidRDefault="00A552BF" w:rsidP="002160ED">
      <w:pPr>
        <w:ind w:left="720"/>
        <w:jc w:val="both"/>
        <w:rPr>
          <w:rFonts w:cs="Arial"/>
        </w:rPr>
      </w:pPr>
    </w:p>
    <w:p w:rsidR="00050FE4" w:rsidRDefault="00050FE4" w:rsidP="00050FE4">
      <w:pPr>
        <w:jc w:val="both"/>
        <w:rPr>
          <w:rFonts w:cs="Arial"/>
          <w:b/>
        </w:rPr>
      </w:pPr>
      <w:r w:rsidRPr="007243A6">
        <w:rPr>
          <w:rFonts w:cs="Arial"/>
          <w:b/>
        </w:rPr>
        <w:t>2.1.</w:t>
      </w:r>
      <w:r w:rsidR="00417F04">
        <w:rPr>
          <w:rFonts w:cs="Arial"/>
          <w:b/>
        </w:rPr>
        <w:t>3</w:t>
      </w:r>
      <w:r>
        <w:rPr>
          <w:rFonts w:cs="Arial"/>
          <w:b/>
        </w:rPr>
        <w:tab/>
        <w:t>Lewisham Healthcare NHS Trust</w:t>
      </w:r>
    </w:p>
    <w:p w:rsidR="00A552BF" w:rsidRDefault="00296F9D" w:rsidP="002160ED">
      <w:pPr>
        <w:ind w:left="720"/>
        <w:jc w:val="both"/>
        <w:rPr>
          <w:rFonts w:cs="Arial"/>
        </w:rPr>
      </w:pPr>
      <w:r>
        <w:rPr>
          <w:rFonts w:cs="Arial"/>
        </w:rPr>
        <w:t xml:space="preserve">The overall TFA rating changed from </w:t>
      </w:r>
      <w:r w:rsidRPr="00035A31">
        <w:rPr>
          <w:rFonts w:cs="Arial"/>
          <w:i/>
          <w:color w:val="000000" w:themeColor="text1"/>
        </w:rPr>
        <w:t xml:space="preserve">Amber </w:t>
      </w:r>
      <w:r w:rsidR="00473F10">
        <w:rPr>
          <w:rFonts w:cs="Arial"/>
          <w:i/>
          <w:color w:val="000000" w:themeColor="text1"/>
        </w:rPr>
        <w:t xml:space="preserve">Red to </w:t>
      </w:r>
      <w:r w:rsidR="00EF2403" w:rsidRPr="00EF2403">
        <w:rPr>
          <w:rFonts w:cs="Arial"/>
          <w:b/>
          <w:i/>
          <w:color w:val="FF0000"/>
        </w:rPr>
        <w:t>Red</w:t>
      </w:r>
      <w:r w:rsidR="005710FA">
        <w:rPr>
          <w:rFonts w:cs="Arial"/>
        </w:rPr>
        <w:t xml:space="preserve"> </w:t>
      </w:r>
      <w:r w:rsidR="00780C14">
        <w:rPr>
          <w:rFonts w:cs="Arial"/>
        </w:rPr>
        <w:t>in April 2012</w:t>
      </w:r>
    </w:p>
    <w:p w:rsidR="005710FA" w:rsidRPr="002160ED" w:rsidRDefault="005710FA" w:rsidP="002160ED">
      <w:pPr>
        <w:ind w:left="720"/>
        <w:jc w:val="both"/>
        <w:rPr>
          <w:rFonts w:cs="Arial"/>
        </w:rPr>
      </w:pPr>
      <w:r>
        <w:rPr>
          <w:rFonts w:cs="Arial"/>
        </w:rPr>
        <w:t xml:space="preserve">The Trust’s FT application </w:t>
      </w:r>
      <w:r w:rsidR="000F353F">
        <w:rPr>
          <w:rFonts w:cs="Arial"/>
        </w:rPr>
        <w:t>has been</w:t>
      </w:r>
      <w:r>
        <w:rPr>
          <w:rFonts w:cs="Arial"/>
        </w:rPr>
        <w:t xml:space="preserve"> delayed by two months due to insufficient detail on CIPs and downside mitigation</w:t>
      </w:r>
      <w:r w:rsidR="00035A31">
        <w:rPr>
          <w:rFonts w:cs="Arial"/>
        </w:rPr>
        <w:t>.  The revised date for the Trust’s submission of its FT application to DH has been agreed as June 2012</w:t>
      </w:r>
      <w:r w:rsidR="000F353F">
        <w:rPr>
          <w:rFonts w:cs="Arial"/>
        </w:rPr>
        <w:t xml:space="preserve">. Progress continues to be made on the </w:t>
      </w:r>
      <w:r w:rsidR="000F353F">
        <w:rPr>
          <w:rFonts w:cs="Arial"/>
        </w:rPr>
        <w:lastRenderedPageBreak/>
        <w:t xml:space="preserve">quality of the CIP programme along with other work associated with the alignment of the </w:t>
      </w:r>
      <w:r w:rsidR="00ED7865">
        <w:rPr>
          <w:rFonts w:cs="Arial"/>
        </w:rPr>
        <w:t xml:space="preserve">Integrated Business Plan and the </w:t>
      </w:r>
      <w:r w:rsidR="00737CD8">
        <w:rPr>
          <w:rFonts w:cs="Arial"/>
        </w:rPr>
        <w:t>Long Term</w:t>
      </w:r>
      <w:r w:rsidR="00ED7865">
        <w:rPr>
          <w:rFonts w:cs="Arial"/>
        </w:rPr>
        <w:t xml:space="preserve"> Financial Model</w:t>
      </w:r>
      <w:r w:rsidR="000F353F">
        <w:rPr>
          <w:rFonts w:cs="Arial"/>
        </w:rPr>
        <w:t xml:space="preserve">.  The Board to Board meeting with Lewisham Healthcare NHS Trust is confirmed to take pace on </w:t>
      </w:r>
      <w:r w:rsidR="00F81FF5">
        <w:rPr>
          <w:rFonts w:cs="Arial"/>
        </w:rPr>
        <w:t>27 April 2012</w:t>
      </w:r>
      <w:r w:rsidR="000F353F">
        <w:rPr>
          <w:rFonts w:cs="Arial"/>
        </w:rPr>
        <w:t>.</w:t>
      </w:r>
    </w:p>
    <w:p w:rsidR="007243A6" w:rsidRDefault="007243A6">
      <w:pPr>
        <w:jc w:val="both"/>
        <w:rPr>
          <w:rFonts w:cs="Arial"/>
          <w:b/>
        </w:rPr>
      </w:pPr>
    </w:p>
    <w:p w:rsidR="001875D0" w:rsidRDefault="001875D0" w:rsidP="001875D0">
      <w:pPr>
        <w:jc w:val="both"/>
        <w:rPr>
          <w:rFonts w:cs="Arial"/>
        </w:rPr>
      </w:pPr>
    </w:p>
    <w:p w:rsidR="001875D0" w:rsidRPr="001875D0" w:rsidRDefault="001875D0" w:rsidP="001875D0">
      <w:pPr>
        <w:jc w:val="both"/>
        <w:rPr>
          <w:rFonts w:cs="Arial"/>
          <w:b/>
        </w:rPr>
      </w:pPr>
      <w:r w:rsidRPr="001875D0">
        <w:rPr>
          <w:rFonts w:cs="Arial"/>
          <w:b/>
        </w:rPr>
        <w:t>2.</w:t>
      </w:r>
      <w:r w:rsidR="00623558">
        <w:rPr>
          <w:rFonts w:cs="Arial"/>
          <w:b/>
        </w:rPr>
        <w:t>1.4</w:t>
      </w:r>
      <w:r w:rsidRPr="001875D0">
        <w:rPr>
          <w:rFonts w:cs="Arial"/>
          <w:b/>
        </w:rPr>
        <w:tab/>
        <w:t>Central London Community Healthcare</w:t>
      </w:r>
    </w:p>
    <w:p w:rsidR="00A869E3" w:rsidRPr="00A869E3" w:rsidRDefault="00A869E3" w:rsidP="00A869E3">
      <w:pPr>
        <w:jc w:val="both"/>
        <w:rPr>
          <w:rFonts w:cs="Arial"/>
        </w:rPr>
      </w:pPr>
      <w:r>
        <w:rPr>
          <w:rFonts w:cs="Arial"/>
        </w:rPr>
        <w:tab/>
      </w:r>
      <w:r w:rsidRPr="007243A6">
        <w:rPr>
          <w:rFonts w:cs="Arial"/>
        </w:rPr>
        <w:t xml:space="preserve">The overall rating changed from </w:t>
      </w:r>
      <w:r w:rsidRPr="00050FE4">
        <w:rPr>
          <w:rFonts w:cs="Arial"/>
          <w:i/>
        </w:rPr>
        <w:t xml:space="preserve">Amber/Green to </w:t>
      </w:r>
      <w:r>
        <w:rPr>
          <w:rFonts w:cs="Arial"/>
          <w:b/>
          <w:i/>
          <w:color w:val="FF0000"/>
        </w:rPr>
        <w:t>Amber Red</w:t>
      </w:r>
      <w:r w:rsidR="00737CD8">
        <w:rPr>
          <w:rFonts w:cs="Arial"/>
          <w:b/>
          <w:i/>
          <w:color w:val="FF0000"/>
        </w:rPr>
        <w:t xml:space="preserve"> </w:t>
      </w:r>
      <w:r w:rsidR="00737CD8" w:rsidRPr="00737CD8">
        <w:rPr>
          <w:rFonts w:cs="Arial"/>
        </w:rPr>
        <w:t>in March 2012</w:t>
      </w:r>
    </w:p>
    <w:p w:rsidR="00A869E3" w:rsidRDefault="00A869E3" w:rsidP="00A869E3">
      <w:pPr>
        <w:jc w:val="both"/>
      </w:pPr>
      <w:r>
        <w:tab/>
        <w:t xml:space="preserve">The overall rating changed from Amber/Green to </w:t>
      </w:r>
      <w:r>
        <w:rPr>
          <w:b/>
          <w:bCs/>
        </w:rPr>
        <w:t>Amber/Red</w:t>
      </w:r>
      <w:r>
        <w:t xml:space="preserve"> in March </w:t>
      </w:r>
      <w:r w:rsidR="00F81FF5">
        <w:t xml:space="preserve">2012 </w:t>
      </w:r>
      <w:r>
        <w:t xml:space="preserve">when the trust </w:t>
      </w:r>
      <w:r>
        <w:tab/>
        <w:t xml:space="preserve">reported a three month slippage against its current FT trajectory of October’12, having </w:t>
      </w:r>
      <w:r>
        <w:tab/>
        <w:t xml:space="preserve">reviewed its current timeline against the deliverables set out in the Accountability </w:t>
      </w:r>
      <w:r>
        <w:tab/>
        <w:t>Agreement.</w:t>
      </w:r>
    </w:p>
    <w:p w:rsidR="001875D0" w:rsidRDefault="001875D0" w:rsidP="001875D0">
      <w:pPr>
        <w:jc w:val="both"/>
        <w:rPr>
          <w:rFonts w:cs="Arial"/>
        </w:rPr>
      </w:pPr>
    </w:p>
    <w:p w:rsidR="001875D0" w:rsidRDefault="001875D0" w:rsidP="001875D0">
      <w:pPr>
        <w:jc w:val="both"/>
        <w:rPr>
          <w:rFonts w:cs="Arial"/>
          <w:b/>
        </w:rPr>
      </w:pPr>
      <w:r w:rsidRPr="001875D0">
        <w:rPr>
          <w:rFonts w:cs="Arial"/>
          <w:b/>
        </w:rPr>
        <w:t>2.</w:t>
      </w:r>
      <w:r w:rsidR="00623558">
        <w:rPr>
          <w:rFonts w:cs="Arial"/>
          <w:b/>
        </w:rPr>
        <w:t>1.5</w:t>
      </w:r>
      <w:r w:rsidRPr="001875D0">
        <w:rPr>
          <w:rFonts w:cs="Arial"/>
          <w:b/>
        </w:rPr>
        <w:tab/>
        <w:t>West Middlesex University Hospital NHS Trust</w:t>
      </w:r>
      <w:r w:rsidR="00A869E3">
        <w:rPr>
          <w:rFonts w:cs="Arial"/>
          <w:b/>
        </w:rPr>
        <w:t xml:space="preserve"> </w:t>
      </w:r>
    </w:p>
    <w:p w:rsidR="00A869E3" w:rsidRPr="00737CD8" w:rsidRDefault="00A869E3" w:rsidP="00737CD8">
      <w:pPr>
        <w:jc w:val="both"/>
      </w:pPr>
      <w:r>
        <w:rPr>
          <w:rFonts w:cs="Arial"/>
          <w:b/>
        </w:rPr>
        <w:tab/>
      </w:r>
      <w:r w:rsidRPr="007243A6">
        <w:rPr>
          <w:rFonts w:cs="Arial"/>
        </w:rPr>
        <w:t xml:space="preserve">The overall rating changed from </w:t>
      </w:r>
      <w:r w:rsidRPr="00050FE4">
        <w:rPr>
          <w:rFonts w:cs="Arial"/>
          <w:i/>
        </w:rPr>
        <w:t xml:space="preserve">Amber/Green to </w:t>
      </w:r>
      <w:r>
        <w:rPr>
          <w:rFonts w:cs="Arial"/>
          <w:b/>
          <w:i/>
          <w:color w:val="FF0000"/>
        </w:rPr>
        <w:t>Amber Red</w:t>
      </w:r>
      <w:r w:rsidR="00737CD8" w:rsidRPr="00737CD8">
        <w:rPr>
          <w:rFonts w:cs="Arial"/>
        </w:rPr>
        <w:t xml:space="preserve"> in March 2012</w:t>
      </w:r>
    </w:p>
    <w:p w:rsidR="001875D0" w:rsidRDefault="00A869E3" w:rsidP="00737CD8">
      <w:pPr>
        <w:jc w:val="both"/>
        <w:rPr>
          <w:rFonts w:cs="Arial"/>
        </w:rPr>
      </w:pPr>
      <w:r>
        <w:rPr>
          <w:rFonts w:cs="Arial"/>
        </w:rPr>
        <w:tab/>
        <w:t>The</w:t>
      </w:r>
      <w:r w:rsidRPr="001D5155">
        <w:t xml:space="preserve"> </w:t>
      </w:r>
      <w:r w:rsidRPr="001D5155">
        <w:rPr>
          <w:rFonts w:cs="Arial"/>
        </w:rPr>
        <w:t xml:space="preserve">March Trust Board concluded that a decision regarding the proposed route to FT </w:t>
      </w:r>
      <w:r>
        <w:rPr>
          <w:rFonts w:cs="Arial"/>
        </w:rPr>
        <w:t>would</w:t>
      </w:r>
      <w:r>
        <w:rPr>
          <w:rFonts w:cs="Arial"/>
        </w:rPr>
        <w:tab/>
      </w:r>
      <w:r w:rsidRPr="001D5155">
        <w:rPr>
          <w:rFonts w:cs="Arial"/>
        </w:rPr>
        <w:t xml:space="preserve">be made </w:t>
      </w:r>
      <w:r w:rsidR="00FD3A94">
        <w:rPr>
          <w:rFonts w:cs="Arial"/>
        </w:rPr>
        <w:t xml:space="preserve">by </w:t>
      </w:r>
      <w:r w:rsidRPr="001D5155">
        <w:rPr>
          <w:rFonts w:cs="Arial"/>
        </w:rPr>
        <w:t>June</w:t>
      </w:r>
      <w:r>
        <w:rPr>
          <w:rFonts w:cs="Arial"/>
        </w:rPr>
        <w:t xml:space="preserve"> 2012</w:t>
      </w:r>
      <w:r w:rsidR="00FD3A94">
        <w:rPr>
          <w:rFonts w:cs="Arial"/>
        </w:rPr>
        <w:t>.</w:t>
      </w:r>
      <w:r w:rsidRPr="001D5155">
        <w:rPr>
          <w:rFonts w:cs="Arial"/>
        </w:rPr>
        <w:t xml:space="preserve"> </w:t>
      </w:r>
      <w:r w:rsidR="00FD3A94">
        <w:rPr>
          <w:rFonts w:cs="Arial"/>
        </w:rPr>
        <w:t xml:space="preserve"> A</w:t>
      </w:r>
      <w:r w:rsidRPr="001D5155">
        <w:rPr>
          <w:rFonts w:cs="Arial"/>
        </w:rPr>
        <w:t xml:space="preserve">lignment with the </w:t>
      </w:r>
      <w:r w:rsidR="00FD3A94">
        <w:rPr>
          <w:rFonts w:cs="Arial"/>
        </w:rPr>
        <w:t>NWL commissioning</w:t>
      </w:r>
      <w:r w:rsidRPr="001D5155">
        <w:rPr>
          <w:rFonts w:cs="Arial"/>
        </w:rPr>
        <w:t xml:space="preserve"> strategy and </w:t>
      </w:r>
      <w:r w:rsidR="00FD3A94">
        <w:rPr>
          <w:rFonts w:cs="Arial"/>
        </w:rPr>
        <w:t xml:space="preserve">consultation </w:t>
      </w:r>
      <w:r w:rsidR="00FD3A94">
        <w:rPr>
          <w:rFonts w:cs="Arial"/>
        </w:rPr>
        <w:tab/>
      </w:r>
      <w:r w:rsidR="003779E1">
        <w:rPr>
          <w:rFonts w:cs="Arial"/>
        </w:rPr>
        <w:t xml:space="preserve">and </w:t>
      </w:r>
      <w:r w:rsidR="003779E1" w:rsidRPr="001D5155">
        <w:rPr>
          <w:rFonts w:cs="Arial"/>
        </w:rPr>
        <w:t>the</w:t>
      </w:r>
      <w:r w:rsidRPr="001D5155">
        <w:rPr>
          <w:rFonts w:cs="Arial"/>
        </w:rPr>
        <w:t xml:space="preserve"> CTB decision</w:t>
      </w:r>
      <w:r w:rsidR="00FD3A94">
        <w:rPr>
          <w:rFonts w:cs="Arial"/>
        </w:rPr>
        <w:t xml:space="preserve"> on funding of </w:t>
      </w:r>
      <w:r w:rsidR="003779E1">
        <w:rPr>
          <w:rFonts w:cs="Arial"/>
        </w:rPr>
        <w:t>historic</w:t>
      </w:r>
      <w:r w:rsidR="00FD3A94">
        <w:rPr>
          <w:rFonts w:cs="Arial"/>
        </w:rPr>
        <w:t xml:space="preserve"> deficit required.</w:t>
      </w:r>
      <w:r w:rsidRPr="001D5155">
        <w:rPr>
          <w:rFonts w:cs="Arial"/>
        </w:rPr>
        <w:t xml:space="preserve">  </w:t>
      </w:r>
      <w:r>
        <w:rPr>
          <w:rFonts w:cs="Arial"/>
        </w:rPr>
        <w:t xml:space="preserve">As the TFA milestone for the </w:t>
      </w:r>
      <w:r w:rsidR="00FD3A94">
        <w:rPr>
          <w:rFonts w:cs="Arial"/>
        </w:rPr>
        <w:tab/>
      </w:r>
      <w:r>
        <w:rPr>
          <w:rFonts w:cs="Arial"/>
        </w:rPr>
        <w:t>decision was in March 2012, the rating was changed to Amber Red.</w:t>
      </w:r>
    </w:p>
    <w:p w:rsidR="00A869E3" w:rsidRDefault="00A869E3" w:rsidP="001875D0">
      <w:pPr>
        <w:jc w:val="both"/>
        <w:rPr>
          <w:rFonts w:cs="Arial"/>
        </w:rPr>
      </w:pPr>
    </w:p>
    <w:p w:rsidR="00035A31" w:rsidRPr="007243A6" w:rsidRDefault="00035A31">
      <w:pPr>
        <w:jc w:val="both"/>
        <w:rPr>
          <w:rFonts w:cs="Arial"/>
          <w:b/>
        </w:rPr>
      </w:pPr>
    </w:p>
    <w:p w:rsidR="008B442C" w:rsidRPr="00FE3939" w:rsidRDefault="007243A6">
      <w:pPr>
        <w:jc w:val="both"/>
        <w:rPr>
          <w:rFonts w:cs="Arial"/>
        </w:rPr>
      </w:pPr>
      <w:r w:rsidRPr="007243A6">
        <w:rPr>
          <w:rFonts w:cs="Arial"/>
          <w:b/>
        </w:rPr>
        <w:t>2.</w:t>
      </w:r>
      <w:r w:rsidR="00623558">
        <w:rPr>
          <w:rFonts w:cs="Arial"/>
          <w:b/>
        </w:rPr>
        <w:t>2</w:t>
      </w:r>
      <w:r>
        <w:rPr>
          <w:rFonts w:cs="Arial"/>
        </w:rPr>
        <w:tab/>
      </w:r>
      <w:r w:rsidR="00DE5950">
        <w:rPr>
          <w:rFonts w:cs="Arial"/>
        </w:rPr>
        <w:t>T</w:t>
      </w:r>
      <w:r w:rsidRPr="00FE3939">
        <w:rPr>
          <w:rFonts w:cs="Arial"/>
        </w:rPr>
        <w:t xml:space="preserve">he following progress has been made by trusts since the Provider Development paper to </w:t>
      </w:r>
      <w:r w:rsidRPr="00FE3939">
        <w:rPr>
          <w:rFonts w:cs="Arial"/>
        </w:rPr>
        <w:tab/>
        <w:t>the January Delivery Group meeting:</w:t>
      </w:r>
    </w:p>
    <w:p w:rsidR="00F02340" w:rsidRDefault="00F02340" w:rsidP="00F02340">
      <w:pPr>
        <w:pStyle w:val="ListParagraph"/>
        <w:tabs>
          <w:tab w:val="num" w:pos="720"/>
        </w:tabs>
        <w:ind w:left="0"/>
        <w:contextualSpacing/>
        <w:jc w:val="both"/>
        <w:rPr>
          <w:rFonts w:ascii="Arial" w:hAnsi="Arial" w:cs="Arial"/>
          <w:color w:val="454545"/>
          <w:sz w:val="18"/>
          <w:szCs w:val="18"/>
        </w:rPr>
      </w:pPr>
    </w:p>
    <w:p w:rsidR="00F02340" w:rsidRPr="00B01075" w:rsidRDefault="00F02340" w:rsidP="00B01075">
      <w:pPr>
        <w:pStyle w:val="yiv101732166msonormal"/>
        <w:shd w:val="clear" w:color="auto" w:fill="FFFFFF"/>
        <w:spacing w:before="0" w:beforeAutospacing="0" w:after="0" w:afterAutospacing="0"/>
        <w:rPr>
          <w:rFonts w:ascii="Arial" w:hAnsi="Arial" w:cs="Arial"/>
          <w:color w:val="454545"/>
          <w:sz w:val="18"/>
          <w:szCs w:val="18"/>
        </w:rPr>
      </w:pPr>
      <w:r>
        <w:rPr>
          <w:rFonts w:ascii="Arial" w:hAnsi="Arial" w:cs="Arial"/>
          <w:b/>
          <w:bCs/>
          <w:color w:val="1F497D"/>
          <w:sz w:val="18"/>
          <w:szCs w:val="18"/>
        </w:rPr>
        <w:t> </w:t>
      </w:r>
    </w:p>
    <w:p w:rsidR="008B442C" w:rsidRDefault="001174A5">
      <w:pPr>
        <w:contextualSpacing/>
        <w:jc w:val="both"/>
        <w:rPr>
          <w:rFonts w:cs="Arial"/>
          <w:b/>
        </w:rPr>
      </w:pPr>
      <w:r w:rsidRPr="00A56CAF">
        <w:rPr>
          <w:rFonts w:cs="Arial"/>
          <w:b/>
        </w:rPr>
        <w:t>2.</w:t>
      </w:r>
      <w:r w:rsidR="00623558">
        <w:rPr>
          <w:rFonts w:cs="Arial"/>
          <w:b/>
        </w:rPr>
        <w:t>2</w:t>
      </w:r>
      <w:r w:rsidRPr="00A56CAF">
        <w:rPr>
          <w:rFonts w:cs="Arial"/>
          <w:b/>
        </w:rPr>
        <w:t>.</w:t>
      </w:r>
      <w:r w:rsidR="001D5155">
        <w:rPr>
          <w:rFonts w:cs="Arial"/>
          <w:b/>
        </w:rPr>
        <w:t>1</w:t>
      </w:r>
      <w:r w:rsidR="001D5155">
        <w:rPr>
          <w:rFonts w:cs="Arial"/>
          <w:b/>
        </w:rPr>
        <w:tab/>
        <w:t xml:space="preserve"> </w:t>
      </w:r>
      <w:r w:rsidRPr="00A56CAF">
        <w:rPr>
          <w:rFonts w:cs="Arial"/>
          <w:b/>
        </w:rPr>
        <w:t>Royal</w:t>
      </w:r>
      <w:r w:rsidR="001F53BE" w:rsidRPr="00A56CAF">
        <w:rPr>
          <w:rFonts w:cs="Arial"/>
          <w:b/>
        </w:rPr>
        <w:t xml:space="preserve"> Free</w:t>
      </w:r>
      <w:r w:rsidR="00482BD5">
        <w:rPr>
          <w:rFonts w:cs="Arial"/>
          <w:b/>
        </w:rPr>
        <w:t xml:space="preserve"> </w:t>
      </w:r>
      <w:r w:rsidR="00DC57C2">
        <w:rPr>
          <w:rFonts w:cs="Arial"/>
          <w:b/>
        </w:rPr>
        <w:t xml:space="preserve">London NHS Foundation Trust </w:t>
      </w:r>
    </w:p>
    <w:p w:rsidR="008B442C" w:rsidRDefault="001F53BE">
      <w:pPr>
        <w:pStyle w:val="ListParagraph"/>
        <w:tabs>
          <w:tab w:val="num" w:pos="720"/>
        </w:tabs>
        <w:ind w:left="0"/>
        <w:contextualSpacing/>
        <w:jc w:val="both"/>
        <w:rPr>
          <w:rFonts w:ascii="Arial" w:hAnsi="Arial" w:cs="Arial"/>
          <w:sz w:val="24"/>
          <w:szCs w:val="24"/>
        </w:rPr>
      </w:pPr>
      <w:r>
        <w:rPr>
          <w:rFonts w:ascii="Arial" w:hAnsi="Arial" w:cs="Arial"/>
          <w:b/>
          <w:sz w:val="24"/>
          <w:szCs w:val="24"/>
        </w:rPr>
        <w:tab/>
      </w:r>
      <w:r w:rsidR="001029A9">
        <w:rPr>
          <w:rFonts w:ascii="Arial" w:hAnsi="Arial" w:cs="Arial"/>
          <w:sz w:val="24"/>
          <w:szCs w:val="24"/>
        </w:rPr>
        <w:t xml:space="preserve"> Royal Free was authorised as a Foundation Trust on 1 April 2012, by Monitor, the </w:t>
      </w:r>
      <w:r w:rsidR="001029A9">
        <w:rPr>
          <w:rFonts w:ascii="Arial" w:hAnsi="Arial" w:cs="Arial"/>
          <w:sz w:val="24"/>
          <w:szCs w:val="24"/>
        </w:rPr>
        <w:tab/>
        <w:t>independent regulator of Foundation Trusts.</w:t>
      </w:r>
    </w:p>
    <w:p w:rsidR="001C5668" w:rsidRDefault="001C5668">
      <w:pPr>
        <w:pStyle w:val="ListParagraph"/>
        <w:tabs>
          <w:tab w:val="num" w:pos="720"/>
        </w:tabs>
        <w:ind w:left="0"/>
        <w:contextualSpacing/>
        <w:jc w:val="both"/>
        <w:rPr>
          <w:rFonts w:ascii="Arial" w:hAnsi="Arial" w:cs="Arial"/>
          <w:sz w:val="24"/>
          <w:szCs w:val="24"/>
        </w:rPr>
      </w:pPr>
    </w:p>
    <w:p w:rsidR="0087059A" w:rsidRPr="001D5155" w:rsidRDefault="00780C14">
      <w:pPr>
        <w:pStyle w:val="ListParagraph"/>
        <w:tabs>
          <w:tab w:val="num" w:pos="720"/>
        </w:tabs>
        <w:ind w:left="0"/>
        <w:contextualSpacing/>
        <w:jc w:val="both"/>
        <w:rPr>
          <w:rFonts w:ascii="Arial" w:hAnsi="Arial" w:cs="Arial"/>
          <w:b/>
          <w:sz w:val="24"/>
          <w:szCs w:val="24"/>
        </w:rPr>
      </w:pPr>
      <w:r w:rsidRPr="00EF2403">
        <w:rPr>
          <w:rFonts w:ascii="Arial" w:hAnsi="Arial" w:cs="Arial"/>
          <w:b/>
          <w:sz w:val="24"/>
          <w:szCs w:val="24"/>
        </w:rPr>
        <w:t>2.</w:t>
      </w:r>
      <w:r>
        <w:rPr>
          <w:rFonts w:ascii="Arial" w:hAnsi="Arial" w:cs="Arial"/>
          <w:b/>
          <w:sz w:val="24"/>
          <w:szCs w:val="24"/>
        </w:rPr>
        <w:t>2</w:t>
      </w:r>
      <w:r w:rsidRPr="00EF2403">
        <w:rPr>
          <w:rFonts w:ascii="Arial" w:hAnsi="Arial" w:cs="Arial"/>
          <w:b/>
          <w:sz w:val="24"/>
          <w:szCs w:val="24"/>
        </w:rPr>
        <w:t>.2 St</w:t>
      </w:r>
      <w:r w:rsidR="00EF2403" w:rsidRPr="00EF2403">
        <w:rPr>
          <w:rFonts w:ascii="Arial" w:hAnsi="Arial" w:cs="Arial"/>
          <w:b/>
          <w:sz w:val="24"/>
          <w:szCs w:val="24"/>
        </w:rPr>
        <w:t>. George’s</w:t>
      </w:r>
      <w:r w:rsidR="000F353F">
        <w:rPr>
          <w:rFonts w:ascii="Arial" w:hAnsi="Arial" w:cs="Arial"/>
          <w:b/>
          <w:sz w:val="24"/>
          <w:szCs w:val="24"/>
        </w:rPr>
        <w:t xml:space="preserve"> Healthcare NHS Trust</w:t>
      </w:r>
    </w:p>
    <w:p w:rsidR="0087059A" w:rsidRPr="0087059A" w:rsidRDefault="0087059A" w:rsidP="00737CD8">
      <w:pPr>
        <w:pStyle w:val="ListParagraph"/>
        <w:tabs>
          <w:tab w:val="num" w:pos="720"/>
        </w:tabs>
        <w:ind w:left="0"/>
        <w:contextualSpacing/>
        <w:jc w:val="both"/>
        <w:rPr>
          <w:rFonts w:ascii="Arial" w:hAnsi="Arial" w:cs="Arial"/>
          <w:sz w:val="24"/>
          <w:szCs w:val="24"/>
        </w:rPr>
      </w:pPr>
      <w:r>
        <w:rPr>
          <w:rFonts w:ascii="Arial" w:hAnsi="Arial" w:cs="Arial"/>
          <w:sz w:val="24"/>
          <w:szCs w:val="24"/>
        </w:rPr>
        <w:tab/>
      </w:r>
      <w:r w:rsidR="003779E1">
        <w:rPr>
          <w:rFonts w:ascii="Arial" w:hAnsi="Arial" w:cs="Arial"/>
          <w:sz w:val="24"/>
          <w:szCs w:val="24"/>
        </w:rPr>
        <w:t xml:space="preserve">A readiness review is planned with the </w:t>
      </w:r>
      <w:r w:rsidR="008C48E0">
        <w:rPr>
          <w:rFonts w:ascii="Arial" w:hAnsi="Arial" w:cs="Arial"/>
          <w:sz w:val="24"/>
          <w:szCs w:val="24"/>
        </w:rPr>
        <w:t>T</w:t>
      </w:r>
      <w:r w:rsidR="003779E1">
        <w:rPr>
          <w:rFonts w:ascii="Arial" w:hAnsi="Arial" w:cs="Arial"/>
          <w:sz w:val="24"/>
          <w:szCs w:val="24"/>
        </w:rPr>
        <w:t xml:space="preserve">rust to understand its plans to </w:t>
      </w:r>
      <w:r w:rsidR="00AD4DEA">
        <w:rPr>
          <w:rFonts w:ascii="Arial" w:hAnsi="Arial" w:cs="Arial"/>
          <w:sz w:val="24"/>
          <w:szCs w:val="24"/>
        </w:rPr>
        <w:t>address the</w:t>
      </w:r>
      <w:r w:rsidR="003779E1">
        <w:rPr>
          <w:rFonts w:ascii="Arial" w:hAnsi="Arial" w:cs="Arial"/>
          <w:sz w:val="24"/>
          <w:szCs w:val="24"/>
        </w:rPr>
        <w:t xml:space="preserve"> </w:t>
      </w:r>
      <w:r w:rsidR="00AD4DEA">
        <w:rPr>
          <w:rFonts w:ascii="Arial" w:hAnsi="Arial" w:cs="Arial"/>
          <w:sz w:val="24"/>
          <w:szCs w:val="24"/>
        </w:rPr>
        <w:tab/>
        <w:t xml:space="preserve">financial </w:t>
      </w:r>
      <w:r w:rsidR="003779E1">
        <w:rPr>
          <w:rFonts w:ascii="Arial" w:hAnsi="Arial" w:cs="Arial"/>
          <w:sz w:val="24"/>
          <w:szCs w:val="24"/>
        </w:rPr>
        <w:t xml:space="preserve">and performance concerns.  If this concludes satisfactorily, a board to board </w:t>
      </w:r>
      <w:r w:rsidR="00AD4DEA">
        <w:rPr>
          <w:rFonts w:ascii="Arial" w:hAnsi="Arial" w:cs="Arial"/>
          <w:sz w:val="24"/>
          <w:szCs w:val="24"/>
        </w:rPr>
        <w:tab/>
      </w:r>
      <w:r w:rsidR="003779E1">
        <w:rPr>
          <w:rFonts w:ascii="Arial" w:hAnsi="Arial" w:cs="Arial"/>
          <w:sz w:val="24"/>
          <w:szCs w:val="24"/>
        </w:rPr>
        <w:t xml:space="preserve">meeting with </w:t>
      </w:r>
      <w:r w:rsidR="003779E1">
        <w:rPr>
          <w:rFonts w:ascii="Arial" w:hAnsi="Arial" w:cs="Arial"/>
          <w:sz w:val="24"/>
          <w:szCs w:val="24"/>
        </w:rPr>
        <w:tab/>
        <w:t>Ruth Carnall will be scheduled with the Trust</w:t>
      </w:r>
      <w:r w:rsidR="008C48E0">
        <w:rPr>
          <w:rFonts w:ascii="Arial" w:hAnsi="Arial" w:cs="Arial"/>
          <w:sz w:val="24"/>
          <w:szCs w:val="24"/>
        </w:rPr>
        <w:t xml:space="preserve"> </w:t>
      </w:r>
      <w:r w:rsidR="003779E1">
        <w:rPr>
          <w:rFonts w:ascii="Arial" w:hAnsi="Arial" w:cs="Arial"/>
          <w:sz w:val="24"/>
          <w:szCs w:val="24"/>
        </w:rPr>
        <w:t>t</w:t>
      </w:r>
      <w:r w:rsidR="00AD4DEA">
        <w:rPr>
          <w:rFonts w:ascii="Arial" w:hAnsi="Arial" w:cs="Arial"/>
          <w:sz w:val="24"/>
          <w:szCs w:val="24"/>
        </w:rPr>
        <w:t xml:space="preserve">o allow the Trust to make its </w:t>
      </w:r>
      <w:r w:rsidR="00AD4DEA">
        <w:rPr>
          <w:rFonts w:ascii="Arial" w:hAnsi="Arial" w:cs="Arial"/>
          <w:sz w:val="24"/>
          <w:szCs w:val="24"/>
        </w:rPr>
        <w:tab/>
        <w:t>case for entering the FT pipeline.</w:t>
      </w:r>
    </w:p>
    <w:p w:rsidR="0087059A" w:rsidRPr="0087059A" w:rsidRDefault="0087059A" w:rsidP="00737CD8">
      <w:pPr>
        <w:pStyle w:val="ListParagraph"/>
        <w:tabs>
          <w:tab w:val="num" w:pos="720"/>
        </w:tabs>
        <w:ind w:left="0"/>
        <w:contextualSpacing/>
        <w:jc w:val="both"/>
        <w:rPr>
          <w:rFonts w:ascii="Arial" w:hAnsi="Arial" w:cs="Arial"/>
          <w:sz w:val="24"/>
          <w:szCs w:val="24"/>
        </w:rPr>
      </w:pPr>
    </w:p>
    <w:p w:rsidR="0087059A" w:rsidRPr="0087059A" w:rsidRDefault="0087059A" w:rsidP="00737CD8">
      <w:pPr>
        <w:pStyle w:val="ListParagraph"/>
        <w:tabs>
          <w:tab w:val="num" w:pos="720"/>
        </w:tabs>
        <w:ind w:left="0"/>
        <w:contextualSpacing/>
        <w:jc w:val="both"/>
        <w:rPr>
          <w:rFonts w:ascii="Arial" w:hAnsi="Arial" w:cs="Arial"/>
          <w:sz w:val="24"/>
          <w:szCs w:val="24"/>
        </w:rPr>
      </w:pPr>
      <w:r>
        <w:rPr>
          <w:rFonts w:ascii="Arial" w:hAnsi="Arial" w:cs="Arial"/>
          <w:sz w:val="24"/>
          <w:szCs w:val="24"/>
        </w:rPr>
        <w:tab/>
      </w:r>
      <w:r w:rsidRPr="0087059A">
        <w:rPr>
          <w:rFonts w:ascii="Arial" w:hAnsi="Arial" w:cs="Arial"/>
          <w:sz w:val="24"/>
          <w:szCs w:val="24"/>
        </w:rPr>
        <w:t xml:space="preserve">The Trust has finalised its Accountability Agreement, which has been agreed with the </w:t>
      </w:r>
      <w:r>
        <w:rPr>
          <w:rFonts w:ascii="Arial" w:hAnsi="Arial" w:cs="Arial"/>
          <w:sz w:val="24"/>
          <w:szCs w:val="24"/>
        </w:rPr>
        <w:tab/>
      </w:r>
      <w:r w:rsidRPr="0087059A">
        <w:rPr>
          <w:rFonts w:ascii="Arial" w:hAnsi="Arial" w:cs="Arial"/>
          <w:sz w:val="24"/>
          <w:szCs w:val="24"/>
        </w:rPr>
        <w:t>Cluster. Detailed planning at the Trust is now well advanced.</w:t>
      </w:r>
    </w:p>
    <w:p w:rsidR="0087059A" w:rsidRPr="0087059A" w:rsidRDefault="0087059A" w:rsidP="00737CD8">
      <w:pPr>
        <w:pStyle w:val="ListParagraph"/>
        <w:tabs>
          <w:tab w:val="num" w:pos="720"/>
        </w:tabs>
        <w:ind w:left="0"/>
        <w:contextualSpacing/>
        <w:jc w:val="both"/>
        <w:rPr>
          <w:rFonts w:ascii="Arial" w:hAnsi="Arial" w:cs="Arial"/>
          <w:sz w:val="24"/>
          <w:szCs w:val="24"/>
        </w:rPr>
      </w:pPr>
    </w:p>
    <w:p w:rsidR="0087059A" w:rsidRDefault="0087059A" w:rsidP="00737CD8">
      <w:pPr>
        <w:pStyle w:val="ListParagraph"/>
        <w:tabs>
          <w:tab w:val="num" w:pos="720"/>
        </w:tabs>
        <w:ind w:left="0"/>
        <w:contextualSpacing/>
        <w:jc w:val="both"/>
        <w:rPr>
          <w:rFonts w:ascii="Arial" w:hAnsi="Arial" w:cs="Arial"/>
          <w:sz w:val="24"/>
          <w:szCs w:val="24"/>
        </w:rPr>
      </w:pPr>
      <w:r>
        <w:rPr>
          <w:rFonts w:ascii="Arial" w:hAnsi="Arial" w:cs="Arial"/>
          <w:sz w:val="24"/>
          <w:szCs w:val="24"/>
        </w:rPr>
        <w:tab/>
      </w:r>
      <w:r w:rsidRPr="0087059A">
        <w:rPr>
          <w:rFonts w:ascii="Arial" w:hAnsi="Arial" w:cs="Arial"/>
          <w:sz w:val="24"/>
          <w:szCs w:val="24"/>
        </w:rPr>
        <w:t xml:space="preserve">The projected submission for the Trust’s FT application to the Department of Health </w:t>
      </w:r>
      <w:r>
        <w:rPr>
          <w:rFonts w:ascii="Arial" w:hAnsi="Arial" w:cs="Arial"/>
          <w:sz w:val="24"/>
          <w:szCs w:val="24"/>
        </w:rPr>
        <w:tab/>
      </w:r>
      <w:r w:rsidRPr="0087059A">
        <w:rPr>
          <w:rFonts w:ascii="Arial" w:hAnsi="Arial" w:cs="Arial"/>
          <w:sz w:val="24"/>
          <w:szCs w:val="24"/>
        </w:rPr>
        <w:t>remains October, 2013.</w:t>
      </w:r>
    </w:p>
    <w:p w:rsidR="008B442C" w:rsidRPr="00EE41A7" w:rsidRDefault="008B442C" w:rsidP="00EE41A7">
      <w:pPr>
        <w:pStyle w:val="ListParagraph"/>
        <w:tabs>
          <w:tab w:val="num" w:pos="720"/>
        </w:tabs>
        <w:ind w:left="0"/>
        <w:contextualSpacing/>
        <w:jc w:val="both"/>
        <w:rPr>
          <w:rFonts w:ascii="Arial" w:hAnsi="Arial" w:cs="Arial"/>
          <w:sz w:val="24"/>
          <w:szCs w:val="24"/>
        </w:rPr>
      </w:pPr>
    </w:p>
    <w:p w:rsidR="008B442C" w:rsidRDefault="00556D11" w:rsidP="00024875">
      <w:pPr>
        <w:pStyle w:val="ListParagraph"/>
        <w:tabs>
          <w:tab w:val="num" w:pos="720"/>
        </w:tabs>
        <w:contextualSpacing/>
        <w:jc w:val="both"/>
        <w:rPr>
          <w:rFonts w:ascii="Arial" w:hAnsi="Arial" w:cs="Arial"/>
          <w:b/>
          <w:sz w:val="24"/>
          <w:szCs w:val="24"/>
          <w:u w:val="single"/>
        </w:rPr>
      </w:pPr>
      <w:r w:rsidRPr="00024875">
        <w:rPr>
          <w:rFonts w:ascii="Arial" w:hAnsi="Arial" w:cs="Arial"/>
          <w:b/>
          <w:sz w:val="24"/>
          <w:szCs w:val="24"/>
          <w:u w:val="single"/>
        </w:rPr>
        <w:t xml:space="preserve">Mergers &amp; </w:t>
      </w:r>
      <w:r w:rsidR="00474BCA" w:rsidRPr="00024875">
        <w:rPr>
          <w:rFonts w:ascii="Arial" w:hAnsi="Arial" w:cs="Arial"/>
          <w:b/>
          <w:sz w:val="24"/>
          <w:szCs w:val="24"/>
          <w:u w:val="single"/>
        </w:rPr>
        <w:t>Acquisitions</w:t>
      </w:r>
    </w:p>
    <w:p w:rsidR="00024875" w:rsidRPr="00024875" w:rsidRDefault="00024875" w:rsidP="00024875">
      <w:pPr>
        <w:pStyle w:val="ListParagraph"/>
        <w:tabs>
          <w:tab w:val="num" w:pos="720"/>
        </w:tabs>
        <w:contextualSpacing/>
        <w:jc w:val="both"/>
        <w:rPr>
          <w:rFonts w:ascii="Arial" w:hAnsi="Arial" w:cs="Arial"/>
          <w:b/>
          <w:sz w:val="24"/>
          <w:szCs w:val="24"/>
          <w:u w:val="single"/>
        </w:rPr>
      </w:pPr>
    </w:p>
    <w:p w:rsidR="0077580C" w:rsidRPr="0077580C" w:rsidRDefault="00AB5D3F" w:rsidP="006B4433">
      <w:pPr>
        <w:pStyle w:val="ListParagraph"/>
        <w:ind w:left="709" w:hanging="709"/>
        <w:contextualSpacing/>
        <w:rPr>
          <w:rFonts w:ascii="Arial" w:hAnsi="Arial" w:cs="Arial"/>
          <w:sz w:val="24"/>
          <w:szCs w:val="24"/>
        </w:rPr>
      </w:pPr>
      <w:r>
        <w:rPr>
          <w:rFonts w:ascii="Arial" w:hAnsi="Arial" w:cs="Arial"/>
          <w:b/>
          <w:sz w:val="24"/>
          <w:szCs w:val="24"/>
        </w:rPr>
        <w:t>2.</w:t>
      </w:r>
      <w:r w:rsidR="00623558">
        <w:rPr>
          <w:rFonts w:ascii="Arial" w:hAnsi="Arial" w:cs="Arial"/>
          <w:b/>
          <w:sz w:val="24"/>
          <w:szCs w:val="24"/>
        </w:rPr>
        <w:t>2.3</w:t>
      </w:r>
      <w:r w:rsidR="00D039F0">
        <w:rPr>
          <w:rFonts w:ascii="Arial" w:hAnsi="Arial" w:cs="Arial"/>
          <w:b/>
          <w:sz w:val="24"/>
          <w:szCs w:val="24"/>
        </w:rPr>
        <w:t xml:space="preserve">   </w:t>
      </w:r>
      <w:r w:rsidR="00BF6346">
        <w:rPr>
          <w:rFonts w:ascii="Arial" w:hAnsi="Arial" w:cs="Arial"/>
          <w:b/>
          <w:sz w:val="24"/>
          <w:szCs w:val="24"/>
        </w:rPr>
        <w:t xml:space="preserve">Barts Health - </w:t>
      </w:r>
      <w:r w:rsidR="001F53BE">
        <w:rPr>
          <w:rFonts w:ascii="Arial" w:hAnsi="Arial" w:cs="Arial"/>
          <w:b/>
          <w:sz w:val="24"/>
          <w:szCs w:val="24"/>
        </w:rPr>
        <w:t>Barts</w:t>
      </w:r>
      <w:r w:rsidR="00482BD5">
        <w:rPr>
          <w:rFonts w:ascii="Arial" w:hAnsi="Arial" w:cs="Arial"/>
          <w:b/>
          <w:sz w:val="24"/>
          <w:szCs w:val="24"/>
        </w:rPr>
        <w:t>, Newham and Whipps Cross</w:t>
      </w:r>
      <w:r w:rsidR="00866F3A">
        <w:rPr>
          <w:rFonts w:ascii="Arial" w:hAnsi="Arial" w:cs="Arial"/>
          <w:b/>
          <w:sz w:val="24"/>
          <w:szCs w:val="24"/>
        </w:rPr>
        <w:t xml:space="preserve"> merger</w:t>
      </w:r>
    </w:p>
    <w:p w:rsidR="0077580C" w:rsidRPr="0077580C" w:rsidRDefault="0077580C" w:rsidP="006B4433">
      <w:pPr>
        <w:pStyle w:val="ListParagraph"/>
        <w:tabs>
          <w:tab w:val="num" w:pos="720"/>
        </w:tabs>
        <w:ind w:left="0"/>
        <w:contextualSpacing/>
        <w:jc w:val="both"/>
        <w:rPr>
          <w:rFonts w:ascii="Arial" w:hAnsi="Arial" w:cs="Arial"/>
          <w:sz w:val="24"/>
          <w:szCs w:val="24"/>
        </w:rPr>
      </w:pPr>
      <w:r>
        <w:rPr>
          <w:rFonts w:ascii="Arial" w:hAnsi="Arial" w:cs="Arial"/>
          <w:sz w:val="24"/>
          <w:szCs w:val="24"/>
        </w:rPr>
        <w:tab/>
      </w:r>
      <w:r w:rsidRPr="0077580C">
        <w:rPr>
          <w:rFonts w:ascii="Arial" w:hAnsi="Arial" w:cs="Arial"/>
          <w:sz w:val="24"/>
          <w:szCs w:val="24"/>
        </w:rPr>
        <w:t xml:space="preserve">The merger was transacted in line with the timetable with the new Trust established </w:t>
      </w:r>
      <w:r w:rsidR="006B4433">
        <w:rPr>
          <w:rFonts w:ascii="Arial" w:hAnsi="Arial" w:cs="Arial"/>
          <w:sz w:val="24"/>
          <w:szCs w:val="24"/>
        </w:rPr>
        <w:tab/>
      </w:r>
      <w:r w:rsidRPr="0077580C">
        <w:rPr>
          <w:rFonts w:ascii="Arial" w:hAnsi="Arial" w:cs="Arial"/>
          <w:sz w:val="24"/>
          <w:szCs w:val="24"/>
        </w:rPr>
        <w:t xml:space="preserve">successfully on 1 April, 2012. This follows approval of the business case by the three trusts, </w:t>
      </w:r>
      <w:r w:rsidR="006B4433">
        <w:rPr>
          <w:rFonts w:ascii="Arial" w:hAnsi="Arial" w:cs="Arial"/>
          <w:sz w:val="24"/>
          <w:szCs w:val="24"/>
        </w:rPr>
        <w:lastRenderedPageBreak/>
        <w:tab/>
      </w:r>
      <w:r w:rsidRPr="0077580C">
        <w:rPr>
          <w:rFonts w:ascii="Arial" w:hAnsi="Arial" w:cs="Arial"/>
          <w:sz w:val="24"/>
          <w:szCs w:val="24"/>
        </w:rPr>
        <w:t>NHS London, two clusters and the Department of Health Transaction Board,</w:t>
      </w:r>
      <w:r w:rsidR="00F65A99">
        <w:rPr>
          <w:rFonts w:ascii="Arial" w:hAnsi="Arial" w:cs="Arial"/>
          <w:sz w:val="24"/>
          <w:szCs w:val="24"/>
        </w:rPr>
        <w:t xml:space="preserve"> </w:t>
      </w:r>
      <w:r w:rsidRPr="0077580C">
        <w:rPr>
          <w:rFonts w:ascii="Arial" w:hAnsi="Arial" w:cs="Arial"/>
          <w:sz w:val="24"/>
          <w:szCs w:val="24"/>
        </w:rPr>
        <w:t xml:space="preserve">and finally, </w:t>
      </w:r>
      <w:r w:rsidR="006B4433">
        <w:rPr>
          <w:rFonts w:ascii="Arial" w:hAnsi="Arial" w:cs="Arial"/>
          <w:sz w:val="24"/>
          <w:szCs w:val="24"/>
        </w:rPr>
        <w:tab/>
      </w:r>
      <w:r w:rsidRPr="0077580C">
        <w:rPr>
          <w:rFonts w:ascii="Arial" w:hAnsi="Arial" w:cs="Arial"/>
          <w:sz w:val="24"/>
          <w:szCs w:val="24"/>
        </w:rPr>
        <w:t>confirmation by the Secretary of State.</w:t>
      </w:r>
    </w:p>
    <w:p w:rsidR="0077580C" w:rsidRPr="0077580C" w:rsidRDefault="0077580C" w:rsidP="0077580C">
      <w:pPr>
        <w:pStyle w:val="ListParagraph"/>
        <w:ind w:left="709" w:hanging="709"/>
        <w:contextualSpacing/>
        <w:jc w:val="both"/>
        <w:rPr>
          <w:rFonts w:ascii="Arial" w:hAnsi="Arial" w:cs="Arial"/>
          <w:sz w:val="24"/>
          <w:szCs w:val="24"/>
        </w:rPr>
      </w:pPr>
    </w:p>
    <w:p w:rsidR="0077580C" w:rsidRPr="0077580C" w:rsidRDefault="0077580C" w:rsidP="0077580C">
      <w:pPr>
        <w:pStyle w:val="ListParagraph"/>
        <w:ind w:left="709" w:hanging="709"/>
        <w:contextualSpacing/>
        <w:jc w:val="both"/>
        <w:rPr>
          <w:rFonts w:ascii="Arial" w:hAnsi="Arial" w:cs="Arial"/>
          <w:sz w:val="24"/>
          <w:szCs w:val="24"/>
        </w:rPr>
      </w:pPr>
      <w:r>
        <w:rPr>
          <w:rFonts w:ascii="Arial" w:hAnsi="Arial" w:cs="Arial"/>
          <w:sz w:val="24"/>
          <w:szCs w:val="24"/>
        </w:rPr>
        <w:tab/>
      </w:r>
      <w:r w:rsidRPr="0077580C">
        <w:rPr>
          <w:rFonts w:ascii="Arial" w:hAnsi="Arial" w:cs="Arial"/>
          <w:sz w:val="24"/>
          <w:szCs w:val="24"/>
        </w:rPr>
        <w:t>All appointments to the Board have been made. Stephen O’Brien is now the substantive Chair with Peter Morris the Chief Executive. The Barts Health Board has thirteen voting Board members comprising the Chair, seven NEDs and five Executive Directors.</w:t>
      </w:r>
    </w:p>
    <w:p w:rsidR="0077580C" w:rsidRPr="0077580C" w:rsidRDefault="0077580C" w:rsidP="0077580C">
      <w:pPr>
        <w:pStyle w:val="ListParagraph"/>
        <w:ind w:left="709" w:hanging="709"/>
        <w:contextualSpacing/>
        <w:jc w:val="both"/>
        <w:rPr>
          <w:rFonts w:ascii="Arial" w:hAnsi="Arial" w:cs="Arial"/>
          <w:sz w:val="24"/>
          <w:szCs w:val="24"/>
        </w:rPr>
      </w:pPr>
    </w:p>
    <w:p w:rsidR="0077580C" w:rsidRPr="0077580C" w:rsidRDefault="0077580C" w:rsidP="0077580C">
      <w:pPr>
        <w:pStyle w:val="ListParagraph"/>
        <w:ind w:left="709" w:hanging="709"/>
        <w:contextualSpacing/>
        <w:jc w:val="both"/>
        <w:rPr>
          <w:rFonts w:ascii="Arial" w:hAnsi="Arial" w:cs="Arial"/>
          <w:sz w:val="24"/>
          <w:szCs w:val="24"/>
        </w:rPr>
      </w:pPr>
      <w:r>
        <w:rPr>
          <w:rFonts w:ascii="Arial" w:hAnsi="Arial" w:cs="Arial"/>
          <w:sz w:val="24"/>
          <w:szCs w:val="24"/>
        </w:rPr>
        <w:tab/>
      </w:r>
      <w:r w:rsidRPr="0077580C">
        <w:rPr>
          <w:rFonts w:ascii="Arial" w:hAnsi="Arial" w:cs="Arial"/>
          <w:sz w:val="24"/>
          <w:szCs w:val="24"/>
        </w:rPr>
        <w:t>The new Board met for the first time on the 2 April</w:t>
      </w:r>
      <w:r w:rsidR="00F95A52">
        <w:rPr>
          <w:rFonts w:ascii="Arial" w:hAnsi="Arial" w:cs="Arial"/>
          <w:sz w:val="24"/>
          <w:szCs w:val="24"/>
        </w:rPr>
        <w:t xml:space="preserve"> 2012.</w:t>
      </w:r>
    </w:p>
    <w:p w:rsidR="0077580C" w:rsidRPr="0077580C" w:rsidRDefault="0077580C" w:rsidP="0077580C">
      <w:pPr>
        <w:pStyle w:val="ListParagraph"/>
        <w:ind w:left="709" w:hanging="709"/>
        <w:contextualSpacing/>
        <w:jc w:val="both"/>
        <w:rPr>
          <w:rFonts w:ascii="Arial" w:hAnsi="Arial" w:cs="Arial"/>
          <w:sz w:val="24"/>
          <w:szCs w:val="24"/>
        </w:rPr>
      </w:pPr>
    </w:p>
    <w:p w:rsidR="0077580C" w:rsidRPr="0077580C" w:rsidRDefault="0077580C" w:rsidP="0077580C">
      <w:pPr>
        <w:pStyle w:val="ListParagraph"/>
        <w:ind w:left="709" w:hanging="709"/>
        <w:contextualSpacing/>
        <w:jc w:val="both"/>
        <w:rPr>
          <w:rFonts w:ascii="Arial" w:hAnsi="Arial" w:cs="Arial"/>
          <w:sz w:val="24"/>
          <w:szCs w:val="24"/>
        </w:rPr>
      </w:pPr>
      <w:r>
        <w:rPr>
          <w:rFonts w:ascii="Arial" w:hAnsi="Arial" w:cs="Arial"/>
          <w:sz w:val="24"/>
          <w:szCs w:val="24"/>
        </w:rPr>
        <w:tab/>
      </w:r>
      <w:r w:rsidRPr="0077580C">
        <w:rPr>
          <w:rFonts w:ascii="Arial" w:hAnsi="Arial" w:cs="Arial"/>
          <w:sz w:val="24"/>
          <w:szCs w:val="24"/>
        </w:rPr>
        <w:t>The Trust is continuing to refine and implement its integration plans, including undertaking consultation with the majority of staff at the hospitals involved in the merger as people migrate to the new organisational design.</w:t>
      </w:r>
    </w:p>
    <w:p w:rsidR="0077580C" w:rsidRPr="0077580C" w:rsidRDefault="0077580C" w:rsidP="0077580C">
      <w:pPr>
        <w:pStyle w:val="ListParagraph"/>
        <w:ind w:left="709" w:hanging="709"/>
        <w:contextualSpacing/>
        <w:jc w:val="both"/>
        <w:rPr>
          <w:rFonts w:ascii="Arial" w:hAnsi="Arial" w:cs="Arial"/>
          <w:sz w:val="24"/>
          <w:szCs w:val="24"/>
        </w:rPr>
      </w:pPr>
    </w:p>
    <w:p w:rsidR="0077580C" w:rsidRPr="0077580C" w:rsidRDefault="0077580C" w:rsidP="0077580C">
      <w:pPr>
        <w:pStyle w:val="ListParagraph"/>
        <w:ind w:left="709" w:hanging="709"/>
        <w:contextualSpacing/>
        <w:jc w:val="both"/>
        <w:rPr>
          <w:rFonts w:ascii="Arial" w:hAnsi="Arial" w:cs="Arial"/>
          <w:sz w:val="24"/>
          <w:szCs w:val="24"/>
        </w:rPr>
      </w:pPr>
      <w:r>
        <w:rPr>
          <w:rFonts w:ascii="Arial" w:hAnsi="Arial" w:cs="Arial"/>
          <w:sz w:val="24"/>
          <w:szCs w:val="24"/>
        </w:rPr>
        <w:tab/>
      </w:r>
      <w:r w:rsidRPr="0077580C">
        <w:rPr>
          <w:rFonts w:ascii="Arial" w:hAnsi="Arial" w:cs="Arial"/>
          <w:sz w:val="24"/>
          <w:szCs w:val="24"/>
        </w:rPr>
        <w:t>It is currently also working on its plans for Foundation Trust status, which are to be finalised by the summer.</w:t>
      </w:r>
    </w:p>
    <w:p w:rsidR="00024875" w:rsidRDefault="00024875">
      <w:pPr>
        <w:pStyle w:val="ListParagraph"/>
        <w:ind w:left="709" w:hanging="709"/>
        <w:contextualSpacing/>
        <w:jc w:val="both"/>
        <w:rPr>
          <w:rFonts w:ascii="Arial" w:hAnsi="Arial" w:cs="Arial"/>
        </w:rPr>
      </w:pPr>
    </w:p>
    <w:p w:rsidR="006E5115" w:rsidRDefault="006E5115">
      <w:pPr>
        <w:pStyle w:val="ListParagraph"/>
        <w:ind w:left="709" w:hanging="709"/>
        <w:contextualSpacing/>
        <w:jc w:val="both"/>
        <w:rPr>
          <w:rFonts w:ascii="Arial" w:hAnsi="Arial" w:cs="Arial"/>
        </w:rPr>
      </w:pPr>
    </w:p>
    <w:p w:rsidR="00EA632E" w:rsidRPr="00EA632E" w:rsidRDefault="00D53263" w:rsidP="00D039F0">
      <w:pPr>
        <w:pStyle w:val="ListParagraph"/>
        <w:ind w:left="0"/>
        <w:contextualSpacing/>
        <w:rPr>
          <w:rFonts w:ascii="Arial" w:hAnsi="Arial" w:cs="Arial"/>
          <w:sz w:val="24"/>
          <w:szCs w:val="24"/>
        </w:rPr>
      </w:pPr>
      <w:r>
        <w:rPr>
          <w:rFonts w:ascii="Arial" w:hAnsi="Arial" w:cs="Arial"/>
          <w:b/>
          <w:sz w:val="24"/>
          <w:szCs w:val="24"/>
        </w:rPr>
        <w:t>2.</w:t>
      </w:r>
      <w:r w:rsidR="00623558">
        <w:rPr>
          <w:rFonts w:ascii="Arial" w:hAnsi="Arial" w:cs="Arial"/>
          <w:b/>
          <w:sz w:val="24"/>
          <w:szCs w:val="24"/>
        </w:rPr>
        <w:t>2.4</w:t>
      </w:r>
      <w:r>
        <w:rPr>
          <w:rFonts w:ascii="Arial" w:hAnsi="Arial" w:cs="Arial"/>
          <w:b/>
          <w:sz w:val="24"/>
          <w:szCs w:val="24"/>
        </w:rPr>
        <w:t xml:space="preserve"> </w:t>
      </w:r>
      <w:r w:rsidR="000707B0">
        <w:rPr>
          <w:rFonts w:ascii="Arial" w:hAnsi="Arial" w:cs="Arial"/>
          <w:b/>
          <w:sz w:val="24"/>
          <w:szCs w:val="24"/>
        </w:rPr>
        <w:t xml:space="preserve">  </w:t>
      </w:r>
      <w:r w:rsidR="007A3939">
        <w:rPr>
          <w:rFonts w:ascii="Arial" w:hAnsi="Arial" w:cs="Arial"/>
          <w:b/>
          <w:sz w:val="24"/>
          <w:szCs w:val="24"/>
        </w:rPr>
        <w:t xml:space="preserve">Ealing and North West London </w:t>
      </w:r>
      <w:r w:rsidR="00DE1A15">
        <w:rPr>
          <w:rFonts w:ascii="Arial" w:hAnsi="Arial" w:cs="Arial"/>
          <w:b/>
          <w:sz w:val="24"/>
          <w:szCs w:val="24"/>
        </w:rPr>
        <w:t xml:space="preserve">Hospitals </w:t>
      </w:r>
      <w:r w:rsidR="007A3939">
        <w:rPr>
          <w:rFonts w:ascii="Arial" w:hAnsi="Arial" w:cs="Arial"/>
          <w:b/>
          <w:sz w:val="24"/>
          <w:szCs w:val="24"/>
        </w:rPr>
        <w:t>merger</w:t>
      </w:r>
    </w:p>
    <w:p w:rsidR="001B045A" w:rsidRDefault="00366CD2" w:rsidP="001B045A">
      <w:pPr>
        <w:pStyle w:val="ListParagraph"/>
        <w:ind w:left="709" w:hanging="709"/>
        <w:contextualSpacing/>
        <w:jc w:val="both"/>
        <w:rPr>
          <w:rFonts w:ascii="Arial" w:hAnsi="Arial" w:cs="Arial"/>
          <w:sz w:val="24"/>
          <w:szCs w:val="24"/>
        </w:rPr>
      </w:pPr>
      <w:r w:rsidRPr="00366CD2">
        <w:rPr>
          <w:rFonts w:ascii="Arial" w:hAnsi="Arial" w:cs="Arial"/>
          <w:sz w:val="24"/>
          <w:szCs w:val="24"/>
        </w:rPr>
        <w:t xml:space="preserve">          </w:t>
      </w:r>
      <w:r w:rsidR="001B045A">
        <w:rPr>
          <w:rFonts w:ascii="Arial" w:hAnsi="Arial" w:cs="Arial"/>
          <w:sz w:val="24"/>
          <w:szCs w:val="24"/>
        </w:rPr>
        <w:tab/>
      </w:r>
      <w:r w:rsidR="001B045A" w:rsidRPr="001B045A">
        <w:rPr>
          <w:rFonts w:ascii="Arial" w:hAnsi="Arial" w:cs="Arial"/>
          <w:sz w:val="24"/>
          <w:szCs w:val="24"/>
        </w:rPr>
        <w:t xml:space="preserve">Work is progressing to complete the Full Business Case, setting out the case for merger of the Ealing Hospital </w:t>
      </w:r>
      <w:r w:rsidR="00F81FF5">
        <w:rPr>
          <w:rFonts w:ascii="Arial" w:hAnsi="Arial" w:cs="Arial"/>
          <w:sz w:val="24"/>
          <w:szCs w:val="24"/>
        </w:rPr>
        <w:t>NHS Trust</w:t>
      </w:r>
      <w:r w:rsidR="001B045A" w:rsidRPr="001B045A">
        <w:rPr>
          <w:rFonts w:ascii="Arial" w:hAnsi="Arial" w:cs="Arial"/>
          <w:sz w:val="24"/>
          <w:szCs w:val="24"/>
        </w:rPr>
        <w:t>/Integrated Care Organisation with the North West London Hospitals NHS Trust. T</w:t>
      </w:r>
      <w:r w:rsidR="009A6E24">
        <w:rPr>
          <w:rFonts w:ascii="Arial" w:hAnsi="Arial" w:cs="Arial"/>
          <w:sz w:val="24"/>
          <w:szCs w:val="24"/>
        </w:rPr>
        <w:t>he</w:t>
      </w:r>
      <w:r w:rsidR="001B045A" w:rsidRPr="001B045A">
        <w:rPr>
          <w:rFonts w:ascii="Arial" w:hAnsi="Arial" w:cs="Arial"/>
          <w:sz w:val="24"/>
          <w:szCs w:val="24"/>
        </w:rPr>
        <w:t xml:space="preserve"> FBC is due to be considered at NHS London Board meeting to be held </w:t>
      </w:r>
      <w:r w:rsidR="001712DA">
        <w:rPr>
          <w:rFonts w:ascii="Arial" w:hAnsi="Arial" w:cs="Arial"/>
          <w:sz w:val="24"/>
          <w:szCs w:val="24"/>
        </w:rPr>
        <w:t>28 June, 2012</w:t>
      </w:r>
      <w:r w:rsidR="00AD4DEA">
        <w:rPr>
          <w:rFonts w:ascii="Arial" w:hAnsi="Arial" w:cs="Arial"/>
          <w:sz w:val="24"/>
          <w:szCs w:val="24"/>
        </w:rPr>
        <w:t>, ahead of the public consultation on the cluster’s commissioning strategy beginning July 2012.</w:t>
      </w:r>
    </w:p>
    <w:p w:rsidR="00F95A52" w:rsidRPr="001B045A" w:rsidRDefault="00F95A52" w:rsidP="001B045A">
      <w:pPr>
        <w:pStyle w:val="ListParagraph"/>
        <w:ind w:left="709" w:hanging="709"/>
        <w:contextualSpacing/>
        <w:jc w:val="both"/>
        <w:rPr>
          <w:rFonts w:ascii="Arial" w:hAnsi="Arial" w:cs="Arial"/>
          <w:sz w:val="24"/>
          <w:szCs w:val="24"/>
        </w:rPr>
      </w:pPr>
    </w:p>
    <w:p w:rsidR="00050FE4" w:rsidRDefault="001B045A" w:rsidP="00050FE4">
      <w:pPr>
        <w:pStyle w:val="ListParagraph"/>
        <w:ind w:left="709" w:hanging="709"/>
        <w:contextualSpacing/>
        <w:jc w:val="both"/>
        <w:rPr>
          <w:rFonts w:ascii="Arial" w:hAnsi="Arial" w:cs="Arial"/>
          <w:sz w:val="24"/>
          <w:szCs w:val="24"/>
        </w:rPr>
      </w:pPr>
      <w:r>
        <w:rPr>
          <w:rFonts w:ascii="Arial" w:hAnsi="Arial" w:cs="Arial"/>
          <w:sz w:val="24"/>
          <w:szCs w:val="24"/>
        </w:rPr>
        <w:tab/>
      </w:r>
      <w:r w:rsidR="001712DA">
        <w:rPr>
          <w:rFonts w:ascii="Arial" w:hAnsi="Arial" w:cs="Arial"/>
          <w:sz w:val="24"/>
          <w:szCs w:val="24"/>
        </w:rPr>
        <w:t>If approved</w:t>
      </w:r>
      <w:r w:rsidR="00511060">
        <w:rPr>
          <w:rFonts w:ascii="Arial" w:hAnsi="Arial" w:cs="Arial"/>
          <w:sz w:val="24"/>
          <w:szCs w:val="24"/>
        </w:rPr>
        <w:t>, the</w:t>
      </w:r>
      <w:r w:rsidR="001712DA">
        <w:rPr>
          <w:rFonts w:ascii="Arial" w:hAnsi="Arial" w:cs="Arial"/>
          <w:sz w:val="24"/>
          <w:szCs w:val="24"/>
        </w:rPr>
        <w:t xml:space="preserve"> Trusts target a merger completion date of 1 October</w:t>
      </w:r>
      <w:r w:rsidR="00F95A52">
        <w:rPr>
          <w:rFonts w:ascii="Arial" w:hAnsi="Arial" w:cs="Arial"/>
          <w:sz w:val="24"/>
          <w:szCs w:val="24"/>
        </w:rPr>
        <w:t xml:space="preserve"> 2012.</w:t>
      </w:r>
    </w:p>
    <w:p w:rsidR="00BF5842" w:rsidRDefault="00BF5842" w:rsidP="00050FE4">
      <w:pPr>
        <w:pStyle w:val="ListParagraph"/>
        <w:ind w:left="709" w:hanging="709"/>
        <w:contextualSpacing/>
        <w:jc w:val="both"/>
      </w:pPr>
    </w:p>
    <w:p w:rsidR="00474BCA" w:rsidRDefault="00780C14" w:rsidP="00474BC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hanging="709"/>
        <w:contextualSpacing/>
        <w:rPr>
          <w:rFonts w:ascii="Arial" w:hAnsi="Arial" w:cs="Arial"/>
          <w:b/>
          <w:sz w:val="24"/>
          <w:szCs w:val="24"/>
        </w:rPr>
      </w:pPr>
      <w:r>
        <w:rPr>
          <w:rFonts w:ascii="Arial" w:hAnsi="Arial" w:cs="Arial"/>
          <w:b/>
          <w:sz w:val="24"/>
          <w:szCs w:val="24"/>
        </w:rPr>
        <w:t>2.2.5 Epsom</w:t>
      </w:r>
      <w:r w:rsidR="00474BCA">
        <w:rPr>
          <w:rFonts w:ascii="Arial" w:hAnsi="Arial" w:cs="Arial"/>
          <w:b/>
          <w:sz w:val="24"/>
          <w:szCs w:val="24"/>
        </w:rPr>
        <w:t xml:space="preserve"> &amp; St. Helier Hospitals NHS </w:t>
      </w:r>
      <w:r w:rsidR="00A76205">
        <w:rPr>
          <w:rFonts w:ascii="Arial" w:hAnsi="Arial" w:cs="Arial"/>
          <w:b/>
          <w:sz w:val="24"/>
          <w:szCs w:val="24"/>
        </w:rPr>
        <w:t>Trust</w:t>
      </w:r>
    </w:p>
    <w:p w:rsidR="000F353F" w:rsidRDefault="00474BCA">
      <w:pPr>
        <w:pStyle w:val="ListParagraph"/>
        <w:ind w:left="709" w:hanging="709"/>
        <w:contextualSpacing/>
        <w:jc w:val="both"/>
        <w:rPr>
          <w:rFonts w:ascii="Arial" w:hAnsi="Arial" w:cs="Arial"/>
          <w:sz w:val="24"/>
          <w:szCs w:val="24"/>
        </w:rPr>
      </w:pPr>
      <w:r>
        <w:rPr>
          <w:rFonts w:ascii="Arial" w:hAnsi="Arial" w:cs="Arial"/>
          <w:sz w:val="24"/>
          <w:szCs w:val="24"/>
        </w:rPr>
        <w:tab/>
      </w:r>
      <w:r w:rsidR="00DE4A0D">
        <w:rPr>
          <w:rFonts w:ascii="Arial" w:hAnsi="Arial" w:cs="Arial"/>
          <w:sz w:val="24"/>
          <w:szCs w:val="24"/>
        </w:rPr>
        <w:t>The Outline Business Case (OBC) for the acquisition of Epsom General Hospital and the separation from St. Helier &amp; Sutton Hospitals is due to be reviewed in May and June by NHS London and NHS South Strategic Health Authorities.</w:t>
      </w:r>
    </w:p>
    <w:p w:rsidR="000F353F" w:rsidRDefault="000F353F">
      <w:pPr>
        <w:pStyle w:val="ListParagraph"/>
        <w:ind w:left="709" w:hanging="709"/>
        <w:contextualSpacing/>
        <w:jc w:val="both"/>
        <w:rPr>
          <w:rFonts w:ascii="Arial" w:hAnsi="Arial" w:cs="Arial"/>
          <w:sz w:val="24"/>
          <w:szCs w:val="24"/>
        </w:rPr>
      </w:pPr>
    </w:p>
    <w:p w:rsidR="000F353F" w:rsidRDefault="001029A9" w:rsidP="00DE4A0D">
      <w:pPr>
        <w:pStyle w:val="ListParagraph"/>
        <w:ind w:left="709" w:hanging="709"/>
        <w:contextualSpacing/>
        <w:jc w:val="both"/>
        <w:rPr>
          <w:rFonts w:ascii="Arial" w:hAnsi="Arial" w:cs="Arial"/>
          <w:sz w:val="24"/>
          <w:szCs w:val="24"/>
        </w:rPr>
      </w:pPr>
      <w:r>
        <w:rPr>
          <w:rFonts w:ascii="Arial" w:hAnsi="Arial" w:cs="Arial"/>
          <w:sz w:val="24"/>
          <w:szCs w:val="24"/>
        </w:rPr>
        <w:tab/>
      </w:r>
      <w:r w:rsidR="00EF2403" w:rsidRPr="00EF2403">
        <w:rPr>
          <w:rFonts w:ascii="Arial" w:hAnsi="Arial" w:cs="Arial"/>
          <w:sz w:val="24"/>
          <w:szCs w:val="24"/>
        </w:rPr>
        <w:t>The sole remaining bidder for Epsom Hospital remains committed to the process</w:t>
      </w:r>
      <w:r w:rsidR="00DE4A0D">
        <w:rPr>
          <w:rFonts w:ascii="Arial" w:hAnsi="Arial" w:cs="Arial"/>
          <w:sz w:val="24"/>
          <w:szCs w:val="24"/>
        </w:rPr>
        <w:t xml:space="preserve"> and the target t</w:t>
      </w:r>
      <w:r w:rsidR="00EF2403" w:rsidRPr="00EF2403">
        <w:rPr>
          <w:rFonts w:ascii="Arial" w:hAnsi="Arial" w:cs="Arial"/>
          <w:sz w:val="24"/>
          <w:szCs w:val="24"/>
        </w:rPr>
        <w:t xml:space="preserve">ransaction date has moved </w:t>
      </w:r>
      <w:r w:rsidR="00DE4A0D">
        <w:rPr>
          <w:rFonts w:ascii="Arial" w:hAnsi="Arial" w:cs="Arial"/>
          <w:sz w:val="24"/>
          <w:szCs w:val="24"/>
        </w:rPr>
        <w:t>t</w:t>
      </w:r>
      <w:r w:rsidR="00EF2403" w:rsidRPr="00EF2403">
        <w:rPr>
          <w:rFonts w:ascii="Arial" w:hAnsi="Arial" w:cs="Arial"/>
          <w:sz w:val="24"/>
          <w:szCs w:val="24"/>
        </w:rPr>
        <w:t xml:space="preserve">o 1 </w:t>
      </w:r>
      <w:r w:rsidR="00DE4A0D">
        <w:rPr>
          <w:rFonts w:ascii="Arial" w:hAnsi="Arial" w:cs="Arial"/>
          <w:sz w:val="24"/>
          <w:szCs w:val="24"/>
        </w:rPr>
        <w:t>A</w:t>
      </w:r>
      <w:r w:rsidR="00EF2403" w:rsidRPr="00EF2403">
        <w:rPr>
          <w:rFonts w:ascii="Arial" w:hAnsi="Arial" w:cs="Arial"/>
          <w:sz w:val="24"/>
          <w:szCs w:val="24"/>
        </w:rPr>
        <w:t>pril, 2013. The impact on the Trust’s TFA is currently being assessed and is subject to a satisfactory outcome of the outline business case.</w:t>
      </w:r>
    </w:p>
    <w:p w:rsidR="00E15866" w:rsidRPr="00050FE4" w:rsidRDefault="00E15866" w:rsidP="001029A9">
      <w:pPr>
        <w:pStyle w:val="ListParagraph"/>
        <w:ind w:left="709" w:hanging="709"/>
        <w:contextualSpacing/>
        <w:jc w:val="both"/>
        <w:rPr>
          <w:rFonts w:cs="Arial"/>
        </w:rPr>
      </w:pPr>
    </w:p>
    <w:p w:rsidR="008B442C" w:rsidRPr="0035084B" w:rsidRDefault="00050FE4">
      <w:pPr>
        <w:pStyle w:val="ListParagraph"/>
        <w:ind w:left="1418" w:hanging="709"/>
        <w:contextualSpacing/>
        <w:rPr>
          <w:rFonts w:ascii="Arial" w:hAnsi="Arial" w:cs="Arial"/>
          <w:b/>
          <w:sz w:val="24"/>
          <w:szCs w:val="24"/>
          <w:u w:val="single"/>
        </w:rPr>
      </w:pPr>
      <w:r>
        <w:rPr>
          <w:rFonts w:ascii="Arial" w:hAnsi="Arial" w:cs="Arial"/>
          <w:b/>
          <w:sz w:val="24"/>
          <w:szCs w:val="24"/>
          <w:u w:val="single"/>
        </w:rPr>
        <w:t>Stage 2 viability study</w:t>
      </w:r>
    </w:p>
    <w:p w:rsidR="00827435" w:rsidRDefault="00827435">
      <w:pPr>
        <w:pStyle w:val="ListParagraph"/>
        <w:ind w:left="1418" w:hanging="709"/>
        <w:contextualSpacing/>
        <w:rPr>
          <w:rFonts w:ascii="Arial" w:hAnsi="Arial" w:cs="Arial"/>
          <w:b/>
          <w:sz w:val="24"/>
          <w:szCs w:val="24"/>
        </w:rPr>
      </w:pPr>
    </w:p>
    <w:p w:rsidR="001174A5" w:rsidRDefault="001174A5" w:rsidP="001174A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hanging="709"/>
        <w:contextualSpacing/>
        <w:rPr>
          <w:rFonts w:ascii="Arial" w:hAnsi="Arial" w:cs="Arial"/>
          <w:b/>
          <w:sz w:val="24"/>
          <w:szCs w:val="24"/>
        </w:rPr>
      </w:pPr>
      <w:r>
        <w:rPr>
          <w:rFonts w:ascii="Arial" w:hAnsi="Arial" w:cs="Arial"/>
          <w:b/>
          <w:sz w:val="24"/>
          <w:szCs w:val="24"/>
        </w:rPr>
        <w:t>2.</w:t>
      </w:r>
      <w:r w:rsidR="00623558">
        <w:rPr>
          <w:rFonts w:ascii="Arial" w:hAnsi="Arial" w:cs="Arial"/>
          <w:b/>
          <w:sz w:val="24"/>
          <w:szCs w:val="24"/>
        </w:rPr>
        <w:t>2</w:t>
      </w:r>
      <w:r w:rsidR="00575A8F">
        <w:rPr>
          <w:rFonts w:ascii="Arial" w:hAnsi="Arial" w:cs="Arial"/>
          <w:b/>
          <w:sz w:val="24"/>
          <w:szCs w:val="24"/>
        </w:rPr>
        <w:t>.6</w:t>
      </w:r>
      <w:r>
        <w:rPr>
          <w:rFonts w:ascii="Arial" w:hAnsi="Arial" w:cs="Arial"/>
          <w:b/>
          <w:sz w:val="24"/>
          <w:szCs w:val="24"/>
        </w:rPr>
        <w:tab/>
        <w:t xml:space="preserve">Barnet and Chase Farm and North Middlesex Hospitals </w:t>
      </w:r>
    </w:p>
    <w:p w:rsidR="00C372EA" w:rsidRPr="00C372EA" w:rsidRDefault="00C372EA" w:rsidP="00737CD8">
      <w:pPr>
        <w:pStyle w:val="ListParagraph"/>
        <w:ind w:left="709" w:hanging="709"/>
        <w:contextualSpacing/>
        <w:jc w:val="both"/>
        <w:rPr>
          <w:rFonts w:ascii="Arial" w:hAnsi="Arial" w:cs="Arial"/>
          <w:sz w:val="24"/>
          <w:szCs w:val="24"/>
        </w:rPr>
      </w:pPr>
      <w:r>
        <w:rPr>
          <w:color w:val="1F497D"/>
        </w:rPr>
        <w:tab/>
      </w:r>
      <w:r w:rsidRPr="00C372EA">
        <w:rPr>
          <w:rFonts w:ascii="Arial" w:hAnsi="Arial" w:cs="Arial"/>
          <w:sz w:val="24"/>
          <w:szCs w:val="24"/>
        </w:rPr>
        <w:t>Following the Secretary of State’s decision to support</w:t>
      </w:r>
      <w:r w:rsidR="00CF5F39">
        <w:rPr>
          <w:rFonts w:ascii="Arial" w:hAnsi="Arial" w:cs="Arial"/>
          <w:sz w:val="24"/>
          <w:szCs w:val="24"/>
        </w:rPr>
        <w:t xml:space="preserve"> the</w:t>
      </w:r>
      <w:r w:rsidRPr="00C372EA">
        <w:rPr>
          <w:rFonts w:ascii="Arial" w:hAnsi="Arial" w:cs="Arial"/>
          <w:sz w:val="24"/>
          <w:szCs w:val="24"/>
        </w:rPr>
        <w:t xml:space="preserve"> implementation of the Barnet Enfield Haringey clinical strategy, Outline Business Cases </w:t>
      </w:r>
      <w:r w:rsidR="001712DA">
        <w:rPr>
          <w:rFonts w:ascii="Arial" w:hAnsi="Arial" w:cs="Arial"/>
          <w:sz w:val="24"/>
          <w:szCs w:val="24"/>
        </w:rPr>
        <w:t xml:space="preserve">were approved by CIC in </w:t>
      </w:r>
      <w:r w:rsidR="00976BAA">
        <w:rPr>
          <w:rFonts w:ascii="Arial" w:hAnsi="Arial" w:cs="Arial"/>
          <w:sz w:val="24"/>
          <w:szCs w:val="24"/>
        </w:rPr>
        <w:t xml:space="preserve">April </w:t>
      </w:r>
      <w:r w:rsidR="00976BAA" w:rsidRPr="00C372EA">
        <w:rPr>
          <w:rFonts w:ascii="Arial" w:hAnsi="Arial" w:cs="Arial"/>
          <w:sz w:val="24"/>
          <w:szCs w:val="24"/>
        </w:rPr>
        <w:t>for</w:t>
      </w:r>
      <w:r w:rsidRPr="00C372EA">
        <w:rPr>
          <w:rFonts w:ascii="Arial" w:hAnsi="Arial" w:cs="Arial"/>
          <w:sz w:val="24"/>
          <w:szCs w:val="24"/>
        </w:rPr>
        <w:t xml:space="preserve"> building work that </w:t>
      </w:r>
      <w:r w:rsidRPr="00C372EA">
        <w:rPr>
          <w:rFonts w:ascii="Arial" w:hAnsi="Arial" w:cs="Arial"/>
          <w:sz w:val="24"/>
          <w:szCs w:val="24"/>
        </w:rPr>
        <w:tab/>
        <w:t>will increase hospital capacity on the Barnet</w:t>
      </w:r>
      <w:r w:rsidR="004C449B">
        <w:rPr>
          <w:rFonts w:ascii="Arial" w:hAnsi="Arial" w:cs="Arial"/>
          <w:sz w:val="24"/>
          <w:szCs w:val="24"/>
        </w:rPr>
        <w:t xml:space="preserve"> Hospital </w:t>
      </w:r>
      <w:r w:rsidRPr="00C372EA">
        <w:rPr>
          <w:rFonts w:ascii="Arial" w:hAnsi="Arial" w:cs="Arial"/>
          <w:sz w:val="24"/>
          <w:szCs w:val="24"/>
        </w:rPr>
        <w:t xml:space="preserve">and North Middlesex Hospital </w:t>
      </w:r>
      <w:r w:rsidRPr="00C372EA">
        <w:rPr>
          <w:rFonts w:ascii="Arial" w:hAnsi="Arial" w:cs="Arial"/>
          <w:sz w:val="24"/>
          <w:szCs w:val="24"/>
        </w:rPr>
        <w:tab/>
        <w:t xml:space="preserve">sites i.e. to support the reconfiguration of services required by </w:t>
      </w:r>
      <w:r w:rsidRPr="00C372EA">
        <w:rPr>
          <w:rFonts w:ascii="Arial" w:hAnsi="Arial" w:cs="Arial"/>
          <w:sz w:val="24"/>
          <w:szCs w:val="24"/>
        </w:rPr>
        <w:lastRenderedPageBreak/>
        <w:t xml:space="preserve">commissioners.  The scale of investment (Over £100m) requires DH and Treasury </w:t>
      </w:r>
      <w:r w:rsidR="005B7C13">
        <w:rPr>
          <w:rFonts w:ascii="Arial" w:hAnsi="Arial" w:cs="Arial"/>
          <w:sz w:val="24"/>
          <w:szCs w:val="24"/>
        </w:rPr>
        <w:t>(for N</w:t>
      </w:r>
      <w:r w:rsidR="0049759F">
        <w:rPr>
          <w:rFonts w:ascii="Arial" w:hAnsi="Arial" w:cs="Arial"/>
          <w:sz w:val="24"/>
          <w:szCs w:val="24"/>
        </w:rPr>
        <w:t xml:space="preserve">orth </w:t>
      </w:r>
      <w:r w:rsidR="005B7C13">
        <w:rPr>
          <w:rFonts w:ascii="Arial" w:hAnsi="Arial" w:cs="Arial"/>
          <w:sz w:val="24"/>
          <w:szCs w:val="24"/>
        </w:rPr>
        <w:t>M</w:t>
      </w:r>
      <w:r w:rsidR="0049759F">
        <w:rPr>
          <w:rFonts w:ascii="Arial" w:hAnsi="Arial" w:cs="Arial"/>
          <w:sz w:val="24"/>
          <w:szCs w:val="24"/>
        </w:rPr>
        <w:t>iddlesex Hospital</w:t>
      </w:r>
      <w:r w:rsidR="005B7C13">
        <w:rPr>
          <w:rFonts w:ascii="Arial" w:hAnsi="Arial" w:cs="Arial"/>
          <w:sz w:val="24"/>
          <w:szCs w:val="24"/>
        </w:rPr>
        <w:t xml:space="preserve"> OBC) </w:t>
      </w:r>
      <w:r w:rsidR="00296F9D" w:rsidRPr="00C372EA">
        <w:rPr>
          <w:rFonts w:ascii="Arial" w:hAnsi="Arial" w:cs="Arial"/>
          <w:sz w:val="24"/>
          <w:szCs w:val="24"/>
        </w:rPr>
        <w:t>approval</w:t>
      </w:r>
      <w:r w:rsidR="001712DA">
        <w:rPr>
          <w:rFonts w:ascii="Arial" w:hAnsi="Arial" w:cs="Arial"/>
          <w:sz w:val="24"/>
          <w:szCs w:val="24"/>
        </w:rPr>
        <w:t>.</w:t>
      </w:r>
    </w:p>
    <w:p w:rsidR="00C372EA" w:rsidRPr="00C372EA" w:rsidRDefault="00C372EA" w:rsidP="00737CD8">
      <w:pPr>
        <w:pStyle w:val="ListParagraph"/>
        <w:ind w:left="709" w:hanging="709"/>
        <w:contextualSpacing/>
        <w:jc w:val="both"/>
        <w:rPr>
          <w:rFonts w:ascii="Arial" w:hAnsi="Arial" w:cs="Arial"/>
          <w:sz w:val="24"/>
          <w:szCs w:val="24"/>
        </w:rPr>
      </w:pPr>
    </w:p>
    <w:p w:rsidR="00A869E3" w:rsidRPr="004C449B" w:rsidRDefault="00976BAA" w:rsidP="00737CD8">
      <w:pPr>
        <w:contextualSpacing/>
        <w:jc w:val="both"/>
        <w:rPr>
          <w:rFonts w:cs="Arial"/>
        </w:rPr>
      </w:pPr>
      <w:r>
        <w:rPr>
          <w:rFonts w:cs="Arial"/>
        </w:rPr>
        <w:tab/>
      </w:r>
      <w:r w:rsidR="00C372EA" w:rsidRPr="004C449B">
        <w:rPr>
          <w:rFonts w:cs="Arial"/>
        </w:rPr>
        <w:t>A</w:t>
      </w:r>
      <w:r w:rsidR="001712DA" w:rsidRPr="004C449B">
        <w:rPr>
          <w:rFonts w:cs="Arial"/>
        </w:rPr>
        <w:t xml:space="preserve">n “accelerated Case” has been developed, based on a modular build construction at </w:t>
      </w:r>
      <w:r>
        <w:rPr>
          <w:rFonts w:cs="Arial"/>
        </w:rPr>
        <w:tab/>
      </w:r>
      <w:r w:rsidR="001712DA" w:rsidRPr="004C449B">
        <w:rPr>
          <w:rFonts w:cs="Arial"/>
        </w:rPr>
        <w:t xml:space="preserve">NMUH and </w:t>
      </w:r>
      <w:r w:rsidR="00BF5842" w:rsidRPr="004C449B">
        <w:rPr>
          <w:rFonts w:cs="Arial"/>
        </w:rPr>
        <w:t>a</w:t>
      </w:r>
      <w:r w:rsidR="001712DA" w:rsidRPr="004C449B">
        <w:rPr>
          <w:rFonts w:cs="Arial"/>
        </w:rPr>
        <w:t xml:space="preserve">dvanced (pre-FBC) approval funding </w:t>
      </w:r>
      <w:r w:rsidR="00F95A52" w:rsidRPr="004C449B">
        <w:rPr>
          <w:rFonts w:cs="Arial"/>
        </w:rPr>
        <w:t>is being</w:t>
      </w:r>
      <w:r w:rsidR="00C372EA" w:rsidRPr="004C449B">
        <w:rPr>
          <w:rFonts w:cs="Arial"/>
        </w:rPr>
        <w:t xml:space="preserve"> made </w:t>
      </w:r>
      <w:r w:rsidR="001712DA" w:rsidRPr="004C449B">
        <w:rPr>
          <w:rFonts w:cs="Arial"/>
        </w:rPr>
        <w:t xml:space="preserve">to DH to </w:t>
      </w:r>
      <w:r w:rsidR="00AA00B6" w:rsidRPr="004C449B">
        <w:rPr>
          <w:rFonts w:cs="Arial"/>
        </w:rPr>
        <w:t>allow an earlier</w:t>
      </w:r>
      <w:r w:rsidR="001712DA" w:rsidRPr="004C449B">
        <w:rPr>
          <w:rFonts w:cs="Arial"/>
        </w:rPr>
        <w:t xml:space="preserve"> </w:t>
      </w:r>
      <w:r>
        <w:rPr>
          <w:rFonts w:cs="Arial"/>
        </w:rPr>
        <w:tab/>
      </w:r>
      <w:r w:rsidR="00C372EA" w:rsidRPr="004C449B">
        <w:rPr>
          <w:rFonts w:cs="Arial"/>
        </w:rPr>
        <w:t xml:space="preserve">completion/implementation date of autumn 2013. </w:t>
      </w:r>
    </w:p>
    <w:p w:rsidR="00C372EA" w:rsidRPr="00A869E3" w:rsidRDefault="00C372EA" w:rsidP="00737CD8">
      <w:pPr>
        <w:pStyle w:val="ListParagraph"/>
        <w:ind w:left="709"/>
        <w:contextualSpacing/>
        <w:jc w:val="both"/>
      </w:pPr>
    </w:p>
    <w:p w:rsidR="00976BAA" w:rsidRDefault="00C372EA" w:rsidP="00737CD8">
      <w:pPr>
        <w:contextualSpacing/>
        <w:jc w:val="both"/>
        <w:rPr>
          <w:rFonts w:eastAsia="Calibri" w:cs="Arial"/>
        </w:rPr>
      </w:pPr>
      <w:r w:rsidRPr="00C372EA">
        <w:rPr>
          <w:rFonts w:cs="Arial"/>
        </w:rPr>
        <w:tab/>
      </w:r>
      <w:r w:rsidR="00976BAA" w:rsidRPr="00976BAA">
        <w:rPr>
          <w:rFonts w:eastAsia="Calibri" w:cs="Arial"/>
        </w:rPr>
        <w:t xml:space="preserve">A FT viability Group has met to consider the long list of options for both hospitals to secure </w:t>
      </w:r>
      <w:r w:rsidR="00976BAA">
        <w:rPr>
          <w:rFonts w:eastAsia="Calibri" w:cs="Arial"/>
        </w:rPr>
        <w:tab/>
      </w:r>
      <w:r w:rsidR="00976BAA" w:rsidRPr="00976BAA">
        <w:rPr>
          <w:rFonts w:eastAsia="Calibri" w:cs="Arial"/>
        </w:rPr>
        <w:t>a viable FT path for the organisations.</w:t>
      </w:r>
    </w:p>
    <w:p w:rsidR="00976BAA" w:rsidRDefault="00976BAA" w:rsidP="00976BAA">
      <w:pPr>
        <w:contextualSpacing/>
        <w:jc w:val="both"/>
        <w:rPr>
          <w:rFonts w:cs="Arial"/>
        </w:rPr>
      </w:pPr>
    </w:p>
    <w:p w:rsidR="00623558" w:rsidRPr="00976BAA" w:rsidRDefault="00623558" w:rsidP="00976BAA">
      <w:pPr>
        <w:contextualSpacing/>
        <w:jc w:val="both"/>
        <w:rPr>
          <w:rFonts w:cs="Arial"/>
        </w:rPr>
      </w:pPr>
    </w:p>
    <w:p w:rsidR="00AA00B6" w:rsidRPr="00AA00B6" w:rsidRDefault="00AA00B6" w:rsidP="00AA00B6">
      <w:pPr>
        <w:pStyle w:val="ListParagraph"/>
        <w:spacing w:after="0"/>
        <w:ind w:left="0"/>
        <w:contextualSpacing/>
        <w:jc w:val="both"/>
        <w:rPr>
          <w:rFonts w:ascii="Arial" w:hAnsi="Arial" w:cs="Arial"/>
          <w:sz w:val="24"/>
          <w:szCs w:val="24"/>
        </w:rPr>
      </w:pPr>
      <w:r w:rsidRPr="00AA00B6">
        <w:rPr>
          <w:rFonts w:ascii="Arial" w:hAnsi="Arial" w:cs="Arial"/>
          <w:b/>
          <w:sz w:val="24"/>
          <w:szCs w:val="24"/>
          <w:u w:val="single"/>
        </w:rPr>
        <w:t xml:space="preserve">Decision points on clinical &amp; financial viability </w:t>
      </w:r>
    </w:p>
    <w:p w:rsidR="00AA00B6" w:rsidRPr="00474BCA" w:rsidRDefault="00AA00B6" w:rsidP="00AA00B6">
      <w:pPr>
        <w:rPr>
          <w:u w:val="single"/>
        </w:rPr>
      </w:pPr>
    </w:p>
    <w:p w:rsidR="00AA00B6" w:rsidRDefault="00AA00B6" w:rsidP="00AA00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hanging="709"/>
        <w:contextualSpacing/>
        <w:rPr>
          <w:rFonts w:ascii="Arial" w:hAnsi="Arial" w:cs="Arial"/>
          <w:b/>
          <w:sz w:val="24"/>
          <w:szCs w:val="24"/>
        </w:rPr>
      </w:pPr>
      <w:r>
        <w:rPr>
          <w:rFonts w:ascii="Arial" w:hAnsi="Arial" w:cs="Arial"/>
          <w:b/>
          <w:sz w:val="24"/>
          <w:szCs w:val="24"/>
        </w:rPr>
        <w:t>2.</w:t>
      </w:r>
      <w:r w:rsidR="00623558">
        <w:rPr>
          <w:rFonts w:ascii="Arial" w:hAnsi="Arial" w:cs="Arial"/>
          <w:b/>
          <w:sz w:val="24"/>
          <w:szCs w:val="24"/>
        </w:rPr>
        <w:t>2</w:t>
      </w:r>
      <w:r w:rsidR="00575A8F">
        <w:rPr>
          <w:rFonts w:ascii="Arial" w:hAnsi="Arial" w:cs="Arial"/>
          <w:b/>
          <w:sz w:val="24"/>
          <w:szCs w:val="24"/>
        </w:rPr>
        <w:t>.</w:t>
      </w:r>
      <w:r w:rsidR="00417F04">
        <w:rPr>
          <w:rFonts w:ascii="Arial" w:hAnsi="Arial" w:cs="Arial"/>
          <w:b/>
          <w:sz w:val="24"/>
          <w:szCs w:val="24"/>
        </w:rPr>
        <w:t>7</w:t>
      </w:r>
      <w:r>
        <w:rPr>
          <w:rFonts w:ascii="Arial" w:hAnsi="Arial" w:cs="Arial"/>
          <w:b/>
          <w:sz w:val="24"/>
          <w:szCs w:val="24"/>
        </w:rPr>
        <w:tab/>
        <w:t>Royal National Orthopaedic Hospital NHS Trust (RNOH)</w:t>
      </w:r>
    </w:p>
    <w:p w:rsidR="000F353F" w:rsidRDefault="00AA00B6">
      <w:pPr>
        <w:pStyle w:val="ListParagraph"/>
        <w:ind w:left="709" w:hanging="709"/>
        <w:contextualSpacing/>
        <w:jc w:val="both"/>
        <w:rPr>
          <w:rFonts w:cs="Arial"/>
          <w:sz w:val="24"/>
          <w:szCs w:val="24"/>
        </w:rPr>
      </w:pPr>
      <w:r>
        <w:rPr>
          <w:rFonts w:ascii="Arial" w:hAnsi="Arial" w:cs="Arial"/>
          <w:sz w:val="24"/>
          <w:szCs w:val="24"/>
        </w:rPr>
        <w:tab/>
      </w:r>
      <w:r w:rsidR="00EF2403" w:rsidRPr="00EF2403">
        <w:rPr>
          <w:rFonts w:ascii="Arial" w:hAnsi="Arial" w:cs="Arial"/>
          <w:sz w:val="24"/>
          <w:szCs w:val="24"/>
        </w:rPr>
        <w:t xml:space="preserve">Following the update to the last Delivery Group, final approval to proceed with the Trust’s PFI redevelopment </w:t>
      </w:r>
      <w:r w:rsidR="00EF2403" w:rsidRPr="00EF2403">
        <w:rPr>
          <w:rFonts w:ascii="Arial" w:hAnsi="Arial" w:cs="Arial"/>
          <w:sz w:val="24"/>
          <w:szCs w:val="24"/>
        </w:rPr>
        <w:tab/>
        <w:t>scheme for the Trust is still outstanding from the Department of Health.</w:t>
      </w:r>
    </w:p>
    <w:p w:rsidR="000F353F" w:rsidRDefault="000F353F">
      <w:pPr>
        <w:pStyle w:val="ListParagraph"/>
        <w:ind w:left="709" w:hanging="709"/>
        <w:contextualSpacing/>
        <w:jc w:val="both"/>
        <w:rPr>
          <w:rFonts w:cs="Arial"/>
          <w:sz w:val="24"/>
          <w:szCs w:val="24"/>
        </w:rPr>
      </w:pPr>
    </w:p>
    <w:p w:rsidR="000F353F" w:rsidRDefault="00EF2403">
      <w:pPr>
        <w:pStyle w:val="ListParagraph"/>
        <w:ind w:left="709" w:hanging="709"/>
        <w:contextualSpacing/>
        <w:jc w:val="both"/>
        <w:rPr>
          <w:rFonts w:cs="Arial"/>
          <w:sz w:val="24"/>
          <w:szCs w:val="24"/>
        </w:rPr>
      </w:pPr>
      <w:r w:rsidRPr="00EF2403">
        <w:rPr>
          <w:rFonts w:ascii="Arial" w:hAnsi="Arial" w:cs="Arial"/>
          <w:sz w:val="24"/>
          <w:szCs w:val="24"/>
        </w:rPr>
        <w:tab/>
        <w:t>This remains a key dependency for the Trust’s FT trajectory and is set out in the Accountability Agreement.</w:t>
      </w:r>
    </w:p>
    <w:p w:rsidR="000F353F" w:rsidRDefault="000F353F">
      <w:pPr>
        <w:pStyle w:val="ListParagraph"/>
        <w:ind w:left="709" w:hanging="709"/>
        <w:contextualSpacing/>
        <w:jc w:val="both"/>
        <w:rPr>
          <w:rFonts w:cs="Arial"/>
          <w:sz w:val="24"/>
          <w:szCs w:val="24"/>
        </w:rPr>
      </w:pPr>
    </w:p>
    <w:p w:rsidR="000F353F" w:rsidRDefault="00EF2403">
      <w:pPr>
        <w:pStyle w:val="ListParagraph"/>
        <w:ind w:left="709" w:hanging="709"/>
        <w:contextualSpacing/>
        <w:jc w:val="both"/>
        <w:rPr>
          <w:rFonts w:cs="Arial"/>
          <w:sz w:val="24"/>
          <w:szCs w:val="24"/>
        </w:rPr>
      </w:pPr>
      <w:r w:rsidRPr="00EF2403">
        <w:rPr>
          <w:rFonts w:ascii="Arial" w:hAnsi="Arial" w:cs="Arial"/>
          <w:sz w:val="24"/>
          <w:szCs w:val="24"/>
        </w:rPr>
        <w:tab/>
        <w:t>The expectation is that the position will be resolved shortly with the Trust able then to satisfy its commitments to its future development and move to FT status.</w:t>
      </w:r>
    </w:p>
    <w:p w:rsidR="00AA00B6" w:rsidRPr="008E2C6D" w:rsidRDefault="00AA00B6" w:rsidP="008E2C6D">
      <w:pPr>
        <w:contextualSpacing/>
        <w:jc w:val="both"/>
        <w:rPr>
          <w:rFonts w:cs="Arial"/>
        </w:rPr>
      </w:pPr>
    </w:p>
    <w:p w:rsidR="00AA00B6" w:rsidRDefault="00AA00B6" w:rsidP="00AA00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hanging="709"/>
        <w:contextualSpacing/>
        <w:jc w:val="both"/>
        <w:rPr>
          <w:rFonts w:ascii="Arial" w:hAnsi="Arial" w:cs="Arial"/>
          <w:b/>
          <w:sz w:val="24"/>
          <w:szCs w:val="24"/>
        </w:rPr>
      </w:pPr>
      <w:r w:rsidRPr="006C669F">
        <w:rPr>
          <w:rFonts w:ascii="Arial" w:hAnsi="Arial" w:cs="Arial"/>
          <w:b/>
          <w:sz w:val="24"/>
          <w:szCs w:val="24"/>
        </w:rPr>
        <w:t>2.</w:t>
      </w:r>
      <w:r w:rsidR="00623558">
        <w:rPr>
          <w:rFonts w:ascii="Arial" w:hAnsi="Arial" w:cs="Arial"/>
          <w:b/>
          <w:sz w:val="24"/>
          <w:szCs w:val="24"/>
        </w:rPr>
        <w:t>2</w:t>
      </w:r>
      <w:r w:rsidR="00575A8F">
        <w:rPr>
          <w:rFonts w:ascii="Arial" w:hAnsi="Arial" w:cs="Arial"/>
          <w:b/>
          <w:sz w:val="24"/>
          <w:szCs w:val="24"/>
        </w:rPr>
        <w:t>.</w:t>
      </w:r>
      <w:r w:rsidR="008E2C6D">
        <w:rPr>
          <w:rFonts w:ascii="Arial" w:hAnsi="Arial" w:cs="Arial"/>
          <w:b/>
          <w:sz w:val="24"/>
          <w:szCs w:val="24"/>
        </w:rPr>
        <w:t>8</w:t>
      </w:r>
      <w:r w:rsidR="008E2C6D">
        <w:rPr>
          <w:rFonts w:ascii="Arial" w:hAnsi="Arial" w:cs="Arial"/>
          <w:sz w:val="24"/>
          <w:szCs w:val="24"/>
        </w:rPr>
        <w:t xml:space="preserve"> </w:t>
      </w:r>
      <w:r w:rsidR="00F0159E">
        <w:rPr>
          <w:rFonts w:ascii="Arial" w:hAnsi="Arial" w:cs="Arial"/>
          <w:sz w:val="24"/>
          <w:szCs w:val="24"/>
        </w:rPr>
        <w:tab/>
      </w:r>
      <w:r w:rsidRPr="00412A80">
        <w:rPr>
          <w:rFonts w:ascii="Arial" w:hAnsi="Arial" w:cs="Arial"/>
          <w:b/>
          <w:sz w:val="24"/>
          <w:szCs w:val="24"/>
        </w:rPr>
        <w:t>West</w:t>
      </w:r>
      <w:r w:rsidRPr="00556D11">
        <w:rPr>
          <w:rFonts w:ascii="Arial" w:hAnsi="Arial" w:cs="Arial"/>
          <w:b/>
          <w:sz w:val="24"/>
          <w:szCs w:val="24"/>
        </w:rPr>
        <w:t xml:space="preserve"> Middlesex</w:t>
      </w:r>
      <w:r>
        <w:rPr>
          <w:rFonts w:ascii="Arial" w:hAnsi="Arial" w:cs="Arial"/>
          <w:b/>
          <w:sz w:val="24"/>
          <w:szCs w:val="24"/>
        </w:rPr>
        <w:t xml:space="preserve"> University Hospital NHS Trust</w:t>
      </w:r>
    </w:p>
    <w:p w:rsidR="003A6ABD" w:rsidRDefault="00976BAA" w:rsidP="00AA00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contextualSpacing/>
        <w:jc w:val="both"/>
        <w:rPr>
          <w:rFonts w:ascii="Arial" w:hAnsi="Arial" w:cs="Arial"/>
          <w:sz w:val="24"/>
          <w:szCs w:val="24"/>
        </w:rPr>
      </w:pPr>
      <w:r>
        <w:rPr>
          <w:rFonts w:ascii="Arial" w:hAnsi="Arial" w:cs="Arial"/>
          <w:sz w:val="24"/>
          <w:szCs w:val="24"/>
        </w:rPr>
        <w:t>The Trust Board has agreed that it is seeking partners to secure the Trust’s route to FT status.</w:t>
      </w:r>
    </w:p>
    <w:p w:rsidR="000F353F" w:rsidRDefault="000F353F" w:rsidP="003A6A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contextualSpacing/>
        <w:jc w:val="both"/>
      </w:pPr>
    </w:p>
    <w:p w:rsidR="00623558" w:rsidRDefault="00AA00B6" w:rsidP="00AA00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0"/>
        <w:contextualSpacing/>
        <w:jc w:val="both"/>
        <w:rPr>
          <w:rFonts w:ascii="Arial" w:hAnsi="Arial" w:cs="Arial"/>
          <w:b/>
          <w:sz w:val="24"/>
          <w:szCs w:val="24"/>
        </w:rPr>
      </w:pPr>
      <w:r>
        <w:rPr>
          <w:rFonts w:ascii="Arial" w:hAnsi="Arial" w:cs="Arial"/>
          <w:b/>
          <w:sz w:val="24"/>
          <w:szCs w:val="24"/>
        </w:rPr>
        <w:t>2.</w:t>
      </w:r>
      <w:r w:rsidR="00623558">
        <w:rPr>
          <w:rFonts w:ascii="Arial" w:hAnsi="Arial" w:cs="Arial"/>
          <w:b/>
          <w:sz w:val="24"/>
          <w:szCs w:val="24"/>
        </w:rPr>
        <w:t>2</w:t>
      </w:r>
      <w:r w:rsidR="00575A8F">
        <w:rPr>
          <w:rFonts w:ascii="Arial" w:hAnsi="Arial" w:cs="Arial"/>
          <w:b/>
          <w:sz w:val="24"/>
          <w:szCs w:val="24"/>
        </w:rPr>
        <w:t>.</w:t>
      </w:r>
      <w:r w:rsidR="008E2C6D">
        <w:rPr>
          <w:rFonts w:ascii="Arial" w:hAnsi="Arial" w:cs="Arial"/>
          <w:b/>
          <w:sz w:val="24"/>
          <w:szCs w:val="24"/>
        </w:rPr>
        <w:t xml:space="preserve">9 </w:t>
      </w:r>
      <w:r>
        <w:rPr>
          <w:rFonts w:ascii="Arial" w:hAnsi="Arial" w:cs="Arial"/>
          <w:b/>
          <w:sz w:val="24"/>
          <w:szCs w:val="24"/>
        </w:rPr>
        <w:t>Barking, Havering and Redbridge University Hospitals NHS Trust</w:t>
      </w:r>
    </w:p>
    <w:p w:rsidR="00417F04" w:rsidRPr="00737CD8" w:rsidRDefault="00DC57C2" w:rsidP="00737C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09"/>
        <w:contextualSpacing/>
        <w:rPr>
          <w:rFonts w:ascii="Arial" w:hAnsi="Arial" w:cs="Arial"/>
          <w:sz w:val="24"/>
          <w:szCs w:val="24"/>
        </w:rPr>
      </w:pPr>
      <w:r w:rsidRPr="00623558">
        <w:rPr>
          <w:rFonts w:ascii="Arial" w:hAnsi="Arial" w:cs="Arial"/>
          <w:sz w:val="24"/>
          <w:szCs w:val="24"/>
        </w:rPr>
        <w:t xml:space="preserve">Quarterly progress meeting </w:t>
      </w:r>
      <w:r w:rsidR="006B4433" w:rsidRPr="00623558">
        <w:rPr>
          <w:rFonts w:ascii="Arial" w:hAnsi="Arial" w:cs="Arial"/>
          <w:sz w:val="24"/>
          <w:szCs w:val="24"/>
        </w:rPr>
        <w:t>held on</w:t>
      </w:r>
      <w:r w:rsidRPr="00623558">
        <w:rPr>
          <w:rFonts w:ascii="Arial" w:hAnsi="Arial" w:cs="Arial"/>
          <w:sz w:val="24"/>
          <w:szCs w:val="24"/>
        </w:rPr>
        <w:t xml:space="preserve"> 16 April</w:t>
      </w:r>
      <w:r w:rsidR="006B4433" w:rsidRPr="00623558">
        <w:rPr>
          <w:rFonts w:ascii="Arial" w:hAnsi="Arial" w:cs="Arial"/>
          <w:sz w:val="24"/>
          <w:szCs w:val="24"/>
        </w:rPr>
        <w:t xml:space="preserve"> 2012</w:t>
      </w:r>
      <w:r w:rsidRPr="00623558">
        <w:rPr>
          <w:rFonts w:ascii="Arial" w:hAnsi="Arial" w:cs="Arial"/>
          <w:sz w:val="24"/>
          <w:szCs w:val="24"/>
        </w:rPr>
        <w:t xml:space="preserve"> indicates some progress has been made </w:t>
      </w:r>
      <w:r w:rsidR="006B4433" w:rsidRPr="00623558">
        <w:rPr>
          <w:rFonts w:ascii="Arial" w:hAnsi="Arial" w:cs="Arial"/>
          <w:sz w:val="24"/>
          <w:szCs w:val="24"/>
        </w:rPr>
        <w:tab/>
      </w:r>
      <w:r w:rsidR="00737CD8">
        <w:rPr>
          <w:rFonts w:ascii="Arial" w:hAnsi="Arial" w:cs="Arial"/>
          <w:sz w:val="24"/>
          <w:szCs w:val="24"/>
        </w:rPr>
        <w:br/>
      </w:r>
      <w:r w:rsidR="00F95A52" w:rsidRPr="00737CD8">
        <w:rPr>
          <w:rFonts w:ascii="Arial" w:hAnsi="Arial" w:cs="Arial"/>
          <w:sz w:val="24"/>
          <w:szCs w:val="24"/>
        </w:rPr>
        <w:t xml:space="preserve">against the </w:t>
      </w:r>
      <w:r w:rsidRPr="00737CD8">
        <w:rPr>
          <w:rFonts w:ascii="Arial" w:hAnsi="Arial" w:cs="Arial"/>
          <w:sz w:val="24"/>
          <w:szCs w:val="24"/>
        </w:rPr>
        <w:t xml:space="preserve">Key Milestone Tracker but the </w:t>
      </w:r>
      <w:r w:rsidR="00D04024" w:rsidRPr="00737CD8">
        <w:rPr>
          <w:rFonts w:ascii="Arial" w:hAnsi="Arial" w:cs="Arial"/>
          <w:sz w:val="24"/>
          <w:szCs w:val="24"/>
        </w:rPr>
        <w:t xml:space="preserve">Trust </w:t>
      </w:r>
      <w:r w:rsidRPr="00737CD8">
        <w:rPr>
          <w:rFonts w:ascii="Arial" w:hAnsi="Arial" w:cs="Arial"/>
          <w:sz w:val="24"/>
          <w:szCs w:val="24"/>
        </w:rPr>
        <w:t>did not meet the A&amp;E 4 h</w:t>
      </w:r>
      <w:r w:rsidR="006B4433" w:rsidRPr="00737CD8">
        <w:rPr>
          <w:rFonts w:ascii="Arial" w:hAnsi="Arial" w:cs="Arial"/>
          <w:sz w:val="24"/>
          <w:szCs w:val="24"/>
        </w:rPr>
        <w:t>our</w:t>
      </w:r>
      <w:r w:rsidRPr="00737CD8">
        <w:rPr>
          <w:rFonts w:ascii="Arial" w:hAnsi="Arial" w:cs="Arial"/>
          <w:sz w:val="24"/>
          <w:szCs w:val="24"/>
        </w:rPr>
        <w:t xml:space="preserve"> wait by some </w:t>
      </w:r>
      <w:r w:rsidR="00623558" w:rsidRPr="00737CD8">
        <w:rPr>
          <w:rFonts w:ascii="Arial" w:hAnsi="Arial" w:cs="Arial"/>
          <w:sz w:val="24"/>
          <w:szCs w:val="24"/>
        </w:rPr>
        <w:br/>
      </w:r>
      <w:r w:rsidR="00F95A52" w:rsidRPr="00737CD8">
        <w:rPr>
          <w:rFonts w:ascii="Arial" w:hAnsi="Arial" w:cs="Arial"/>
          <w:sz w:val="24"/>
          <w:szCs w:val="24"/>
        </w:rPr>
        <w:tab/>
      </w:r>
      <w:r w:rsidRPr="00737CD8">
        <w:rPr>
          <w:rFonts w:ascii="Arial" w:hAnsi="Arial" w:cs="Arial"/>
          <w:sz w:val="24"/>
          <w:szCs w:val="24"/>
        </w:rPr>
        <w:t xml:space="preserve">margin and has made insufficient progress against H4NEL </w:t>
      </w:r>
      <w:r w:rsidR="001029A9" w:rsidRPr="00737CD8">
        <w:rPr>
          <w:rFonts w:ascii="Arial" w:hAnsi="Arial" w:cs="Arial"/>
          <w:sz w:val="24"/>
          <w:szCs w:val="24"/>
        </w:rPr>
        <w:t>m</w:t>
      </w:r>
      <w:r w:rsidRPr="00737CD8">
        <w:rPr>
          <w:rFonts w:ascii="Arial" w:hAnsi="Arial" w:cs="Arial"/>
          <w:sz w:val="24"/>
          <w:szCs w:val="24"/>
        </w:rPr>
        <w:t>ilestones.</w:t>
      </w:r>
      <w:r w:rsidR="00D04024" w:rsidRPr="00737CD8">
        <w:rPr>
          <w:rFonts w:ascii="Arial" w:hAnsi="Arial" w:cs="Arial"/>
          <w:sz w:val="24"/>
          <w:szCs w:val="24"/>
        </w:rPr>
        <w:t xml:space="preserve"> The</w:t>
      </w:r>
      <w:r w:rsidRPr="00737CD8">
        <w:rPr>
          <w:rFonts w:ascii="Arial" w:hAnsi="Arial" w:cs="Arial"/>
          <w:sz w:val="24"/>
          <w:szCs w:val="24"/>
        </w:rPr>
        <w:t xml:space="preserve"> </w:t>
      </w:r>
      <w:r w:rsidR="00D04024" w:rsidRPr="00737CD8">
        <w:rPr>
          <w:rFonts w:ascii="Arial" w:hAnsi="Arial" w:cs="Arial"/>
          <w:sz w:val="24"/>
          <w:szCs w:val="24"/>
        </w:rPr>
        <w:t>Stage 2</w:t>
      </w:r>
      <w:r w:rsidRPr="00737CD8">
        <w:rPr>
          <w:rFonts w:ascii="Arial" w:hAnsi="Arial" w:cs="Arial"/>
          <w:sz w:val="24"/>
          <w:szCs w:val="24"/>
        </w:rPr>
        <w:t xml:space="preserve"> </w:t>
      </w:r>
      <w:r w:rsidR="006B4433" w:rsidRPr="00737CD8">
        <w:rPr>
          <w:rFonts w:ascii="Arial" w:hAnsi="Arial" w:cs="Arial"/>
          <w:sz w:val="24"/>
          <w:szCs w:val="24"/>
        </w:rPr>
        <w:t xml:space="preserve">DH </w:t>
      </w:r>
      <w:r w:rsidR="006B4433" w:rsidRPr="00737CD8">
        <w:rPr>
          <w:rFonts w:ascii="Arial" w:hAnsi="Arial" w:cs="Arial"/>
          <w:sz w:val="24"/>
          <w:szCs w:val="24"/>
        </w:rPr>
        <w:tab/>
      </w:r>
      <w:r w:rsidR="00623558" w:rsidRPr="00737CD8">
        <w:rPr>
          <w:rFonts w:ascii="Arial" w:hAnsi="Arial" w:cs="Arial"/>
          <w:sz w:val="24"/>
          <w:szCs w:val="24"/>
        </w:rPr>
        <w:br/>
      </w:r>
      <w:r w:rsidRPr="00737CD8">
        <w:rPr>
          <w:rFonts w:ascii="Arial" w:hAnsi="Arial" w:cs="Arial"/>
          <w:sz w:val="24"/>
          <w:szCs w:val="24"/>
        </w:rPr>
        <w:t xml:space="preserve">Performance and Escalation meeting </w:t>
      </w:r>
      <w:r w:rsidR="006B4433" w:rsidRPr="00737CD8">
        <w:rPr>
          <w:rFonts w:ascii="Arial" w:hAnsi="Arial" w:cs="Arial"/>
          <w:sz w:val="24"/>
          <w:szCs w:val="24"/>
        </w:rPr>
        <w:t xml:space="preserve">was </w:t>
      </w:r>
      <w:r w:rsidRPr="00737CD8">
        <w:rPr>
          <w:rFonts w:ascii="Arial" w:hAnsi="Arial" w:cs="Arial"/>
          <w:sz w:val="24"/>
          <w:szCs w:val="24"/>
        </w:rPr>
        <w:t>held on 17 April</w:t>
      </w:r>
      <w:r w:rsidR="006B4433" w:rsidRPr="00737CD8">
        <w:rPr>
          <w:rFonts w:ascii="Arial" w:hAnsi="Arial" w:cs="Arial"/>
          <w:sz w:val="24"/>
          <w:szCs w:val="24"/>
        </w:rPr>
        <w:t xml:space="preserve"> 2012.</w:t>
      </w:r>
      <w:r w:rsidRPr="00737CD8">
        <w:rPr>
          <w:rFonts w:ascii="Arial" w:hAnsi="Arial" w:cs="Arial"/>
          <w:sz w:val="24"/>
          <w:szCs w:val="24"/>
        </w:rPr>
        <w:t xml:space="preserve"> </w:t>
      </w:r>
      <w:r w:rsidR="00A869E3" w:rsidRPr="00737CD8">
        <w:rPr>
          <w:rFonts w:ascii="Arial" w:hAnsi="Arial" w:cs="Arial"/>
          <w:sz w:val="24"/>
          <w:szCs w:val="24"/>
        </w:rPr>
        <w:t>The n</w:t>
      </w:r>
      <w:r w:rsidRPr="00737CD8">
        <w:rPr>
          <w:rFonts w:ascii="Arial" w:hAnsi="Arial" w:cs="Arial"/>
          <w:sz w:val="24"/>
          <w:szCs w:val="24"/>
        </w:rPr>
        <w:t xml:space="preserve">ext steps </w:t>
      </w:r>
      <w:r w:rsidR="00A869E3" w:rsidRPr="00737CD8">
        <w:rPr>
          <w:rFonts w:ascii="Arial" w:hAnsi="Arial" w:cs="Arial"/>
          <w:sz w:val="24"/>
          <w:szCs w:val="24"/>
        </w:rPr>
        <w:t xml:space="preserve">are </w:t>
      </w:r>
      <w:r w:rsidRPr="00737CD8">
        <w:rPr>
          <w:rFonts w:ascii="Arial" w:hAnsi="Arial" w:cs="Arial"/>
          <w:sz w:val="24"/>
          <w:szCs w:val="24"/>
        </w:rPr>
        <w:t xml:space="preserve">to be </w:t>
      </w:r>
      <w:r w:rsidR="00A869E3" w:rsidRPr="00737CD8">
        <w:rPr>
          <w:rFonts w:ascii="Arial" w:hAnsi="Arial" w:cs="Arial"/>
          <w:sz w:val="24"/>
          <w:szCs w:val="24"/>
        </w:rPr>
        <w:tab/>
      </w:r>
      <w:r w:rsidR="00623558" w:rsidRPr="00737CD8">
        <w:rPr>
          <w:rFonts w:ascii="Arial" w:hAnsi="Arial" w:cs="Arial"/>
          <w:sz w:val="24"/>
          <w:szCs w:val="24"/>
        </w:rPr>
        <w:br/>
      </w:r>
      <w:r w:rsidRPr="00737CD8">
        <w:rPr>
          <w:rFonts w:ascii="Arial" w:hAnsi="Arial" w:cs="Arial"/>
          <w:sz w:val="24"/>
          <w:szCs w:val="24"/>
        </w:rPr>
        <w:t>agreed following NH</w:t>
      </w:r>
      <w:r w:rsidR="00A869E3" w:rsidRPr="00737CD8">
        <w:rPr>
          <w:rFonts w:ascii="Arial" w:hAnsi="Arial" w:cs="Arial"/>
          <w:sz w:val="24"/>
          <w:szCs w:val="24"/>
        </w:rPr>
        <w:t xml:space="preserve">S </w:t>
      </w:r>
      <w:r w:rsidR="00D04024" w:rsidRPr="00737CD8">
        <w:rPr>
          <w:rFonts w:ascii="Arial" w:hAnsi="Arial" w:cs="Arial"/>
          <w:sz w:val="24"/>
          <w:szCs w:val="24"/>
        </w:rPr>
        <w:t>London‘s</w:t>
      </w:r>
      <w:r w:rsidR="00A869E3" w:rsidRPr="00737CD8">
        <w:rPr>
          <w:rFonts w:ascii="Arial" w:hAnsi="Arial" w:cs="Arial"/>
          <w:sz w:val="24"/>
          <w:szCs w:val="24"/>
        </w:rPr>
        <w:t xml:space="preserve"> CE’s </w:t>
      </w:r>
      <w:r w:rsidRPr="00737CD8">
        <w:rPr>
          <w:rFonts w:ascii="Arial" w:hAnsi="Arial" w:cs="Arial"/>
          <w:sz w:val="24"/>
          <w:szCs w:val="24"/>
        </w:rPr>
        <w:t xml:space="preserve">meeting with </w:t>
      </w:r>
      <w:r w:rsidR="00A869E3" w:rsidRPr="00737CD8">
        <w:rPr>
          <w:rFonts w:ascii="Arial" w:hAnsi="Arial" w:cs="Arial"/>
          <w:sz w:val="24"/>
          <w:szCs w:val="24"/>
        </w:rPr>
        <w:t xml:space="preserve">the </w:t>
      </w:r>
      <w:r w:rsidR="00473F10" w:rsidRPr="00737CD8">
        <w:rPr>
          <w:rFonts w:ascii="Arial" w:hAnsi="Arial" w:cs="Arial"/>
          <w:sz w:val="24"/>
          <w:szCs w:val="24"/>
        </w:rPr>
        <w:t>SOf</w:t>
      </w:r>
      <w:r w:rsidRPr="00737CD8">
        <w:rPr>
          <w:rFonts w:ascii="Arial" w:hAnsi="Arial" w:cs="Arial"/>
          <w:sz w:val="24"/>
          <w:szCs w:val="24"/>
        </w:rPr>
        <w:t>S on 23 April</w:t>
      </w:r>
      <w:r w:rsidR="00A869E3" w:rsidRPr="00737CD8">
        <w:rPr>
          <w:rFonts w:ascii="Arial" w:hAnsi="Arial" w:cs="Arial"/>
          <w:sz w:val="24"/>
          <w:szCs w:val="24"/>
        </w:rPr>
        <w:t xml:space="preserve"> 2012.</w:t>
      </w:r>
    </w:p>
    <w:p w:rsidR="006B4433" w:rsidRDefault="006B4433" w:rsidP="00A7019B">
      <w:pPr>
        <w:jc w:val="both"/>
        <w:rPr>
          <w:rFonts w:cs="Arial"/>
        </w:rPr>
      </w:pPr>
    </w:p>
    <w:p w:rsidR="00AA00B6" w:rsidRDefault="00AA00B6" w:rsidP="00AA00B6">
      <w:pPr>
        <w:pStyle w:val="ListBullet"/>
        <w:numPr>
          <w:ilvl w:val="0"/>
          <w:numId w:val="0"/>
        </w:numPr>
        <w:rPr>
          <w:b/>
          <w:sz w:val="28"/>
        </w:rPr>
      </w:pPr>
      <w:r w:rsidRPr="00366AE1">
        <w:rPr>
          <w:b/>
          <w:sz w:val="28"/>
        </w:rPr>
        <w:t>3</w:t>
      </w:r>
      <w:r w:rsidRPr="00366AE1">
        <w:rPr>
          <w:b/>
          <w:sz w:val="28"/>
        </w:rPr>
        <w:tab/>
      </w:r>
      <w:r>
        <w:rPr>
          <w:b/>
          <w:sz w:val="28"/>
        </w:rPr>
        <w:t>Update on the five trusts in the DH Performance and Escalation Process</w:t>
      </w:r>
    </w:p>
    <w:p w:rsidR="009E3BA5" w:rsidRDefault="008127DF" w:rsidP="00737CD8">
      <w:pPr>
        <w:pStyle w:val="ListBullet"/>
        <w:numPr>
          <w:ilvl w:val="0"/>
          <w:numId w:val="0"/>
        </w:numPr>
        <w:jc w:val="both"/>
      </w:pPr>
      <w:r>
        <w:rPr>
          <w:b/>
          <w:sz w:val="28"/>
        </w:rPr>
        <w:tab/>
      </w:r>
      <w:r w:rsidRPr="008127DF">
        <w:t xml:space="preserve">Out of the five trusts in the DH Performance and Escalation </w:t>
      </w:r>
      <w:r w:rsidR="00473F10">
        <w:t>p</w:t>
      </w:r>
      <w:r w:rsidRPr="008127DF">
        <w:t xml:space="preserve">rocess, two trusts have had </w:t>
      </w:r>
      <w:r>
        <w:tab/>
      </w:r>
      <w:r w:rsidRPr="008127DF">
        <w:t>their stage 2 Performance and Escalation meetings</w:t>
      </w:r>
      <w:r w:rsidR="009E3BA5">
        <w:t xml:space="preserve"> with David Flory, Chief Executive of the </w:t>
      </w:r>
      <w:r w:rsidR="009E3BA5">
        <w:tab/>
        <w:t>NHS Trust Development Authority</w:t>
      </w:r>
      <w:r w:rsidR="00F87631">
        <w:t xml:space="preserve"> and </w:t>
      </w:r>
      <w:r w:rsidR="009E3BA5">
        <w:t>Ruth Carnall</w:t>
      </w:r>
      <w:r w:rsidR="006B4433">
        <w:t>, Chief Executive of the London SHA.</w:t>
      </w:r>
    </w:p>
    <w:p w:rsidR="008127DF" w:rsidRPr="008127DF" w:rsidRDefault="008127DF" w:rsidP="00AA00B6">
      <w:pPr>
        <w:pStyle w:val="ListBullet"/>
        <w:numPr>
          <w:ilvl w:val="0"/>
          <w:numId w:val="0"/>
        </w:numPr>
      </w:pPr>
      <w:r w:rsidRPr="008127DF">
        <w:t xml:space="preserve">.  </w:t>
      </w:r>
      <w:r w:rsidRPr="008127DF">
        <w:tab/>
      </w:r>
      <w:r w:rsidR="00534529">
        <w:t>The two</w:t>
      </w:r>
      <w:r w:rsidR="00534529" w:rsidRPr="008127DF">
        <w:t xml:space="preserve"> </w:t>
      </w:r>
      <w:r w:rsidRPr="008127DF">
        <w:t>trusts and the dates of the meetings are shown below:</w:t>
      </w:r>
    </w:p>
    <w:p w:rsidR="008127DF" w:rsidRDefault="008127DF" w:rsidP="008127DF">
      <w:pPr>
        <w:pStyle w:val="ListBullet"/>
        <w:numPr>
          <w:ilvl w:val="0"/>
          <w:numId w:val="0"/>
        </w:numPr>
        <w:rPr>
          <w:rFonts w:cs="Arial"/>
        </w:rPr>
      </w:pPr>
      <w:r>
        <w:rPr>
          <w:b/>
          <w:sz w:val="28"/>
        </w:rPr>
        <w:lastRenderedPageBreak/>
        <w:tab/>
      </w:r>
      <w:r w:rsidRPr="008127DF">
        <w:rPr>
          <w:sz w:val="28"/>
        </w:rPr>
        <w:t>-</w:t>
      </w:r>
      <w:r>
        <w:rPr>
          <w:b/>
          <w:sz w:val="28"/>
        </w:rPr>
        <w:t xml:space="preserve"> </w:t>
      </w:r>
      <w:r w:rsidRPr="0035084B">
        <w:rPr>
          <w:rFonts w:cs="Arial"/>
        </w:rPr>
        <w:t>Barking Havering and Redbridge University Hospitals NHS Trust</w:t>
      </w:r>
      <w:r w:rsidR="009E3BA5">
        <w:rPr>
          <w:rFonts w:cs="Arial"/>
        </w:rPr>
        <w:t xml:space="preserve"> – </w:t>
      </w:r>
      <w:r w:rsidR="00F87631">
        <w:rPr>
          <w:rFonts w:cs="Arial"/>
        </w:rPr>
        <w:t xml:space="preserve">17 </w:t>
      </w:r>
      <w:r w:rsidR="009E3BA5">
        <w:rPr>
          <w:rFonts w:cs="Arial"/>
        </w:rPr>
        <w:t>April 2012</w:t>
      </w:r>
      <w:r w:rsidRPr="0035084B">
        <w:rPr>
          <w:rFonts w:cs="Arial"/>
        </w:rPr>
        <w:br/>
      </w:r>
      <w:r>
        <w:rPr>
          <w:rFonts w:cs="Arial"/>
        </w:rPr>
        <w:tab/>
      </w:r>
      <w:r w:rsidRPr="0035084B">
        <w:rPr>
          <w:rFonts w:cs="Arial"/>
        </w:rPr>
        <w:br/>
      </w:r>
      <w:r>
        <w:rPr>
          <w:rFonts w:cs="Arial"/>
        </w:rPr>
        <w:tab/>
        <w:t>-</w:t>
      </w:r>
      <w:r w:rsidRPr="0035084B">
        <w:rPr>
          <w:rFonts w:cs="Arial"/>
        </w:rPr>
        <w:t xml:space="preserve"> Imperial College Healthcare NHS Trust</w:t>
      </w:r>
      <w:r w:rsidR="009E3BA5">
        <w:rPr>
          <w:rFonts w:cs="Arial"/>
        </w:rPr>
        <w:t xml:space="preserve"> – </w:t>
      </w:r>
      <w:r w:rsidR="00F87631">
        <w:rPr>
          <w:rFonts w:cs="Arial"/>
        </w:rPr>
        <w:t xml:space="preserve">5 </w:t>
      </w:r>
      <w:r w:rsidR="009E3BA5">
        <w:rPr>
          <w:rFonts w:cs="Arial"/>
        </w:rPr>
        <w:t>April 2012</w:t>
      </w:r>
    </w:p>
    <w:p w:rsidR="009E3BA5" w:rsidRDefault="008127DF" w:rsidP="00737CD8">
      <w:pPr>
        <w:pStyle w:val="ListBullet"/>
        <w:numPr>
          <w:ilvl w:val="0"/>
          <w:numId w:val="0"/>
        </w:numPr>
        <w:jc w:val="both"/>
        <w:rPr>
          <w:rFonts w:cs="Arial"/>
        </w:rPr>
      </w:pPr>
      <w:r>
        <w:rPr>
          <w:rFonts w:cs="Arial"/>
        </w:rPr>
        <w:tab/>
      </w:r>
      <w:r w:rsidRPr="0035084B">
        <w:rPr>
          <w:rFonts w:cs="Arial"/>
        </w:rPr>
        <w:br/>
      </w:r>
      <w:r>
        <w:rPr>
          <w:rFonts w:cs="Arial"/>
        </w:rPr>
        <w:tab/>
      </w:r>
      <w:r w:rsidR="009E3BA5">
        <w:rPr>
          <w:rFonts w:cs="Arial"/>
        </w:rPr>
        <w:t xml:space="preserve">The letter sent to the Chief Executive of Imperial College Healthcare post the Stage 2 </w:t>
      </w:r>
      <w:r w:rsidR="009E3BA5">
        <w:rPr>
          <w:rFonts w:cs="Arial"/>
        </w:rPr>
        <w:tab/>
        <w:t xml:space="preserve">Performance and Escalation is attached as </w:t>
      </w:r>
      <w:r w:rsidR="009E3BA5" w:rsidRPr="00212B70">
        <w:rPr>
          <w:rFonts w:cs="Arial"/>
          <w:b/>
        </w:rPr>
        <w:t xml:space="preserve">Appendix </w:t>
      </w:r>
      <w:r w:rsidR="00D63367">
        <w:rPr>
          <w:rFonts w:cs="Arial"/>
          <w:b/>
        </w:rPr>
        <w:t>2</w:t>
      </w:r>
      <w:r w:rsidR="009E3BA5">
        <w:rPr>
          <w:rFonts w:cs="Arial"/>
        </w:rPr>
        <w:t xml:space="preserve">. DH and NHS London are working </w:t>
      </w:r>
      <w:r w:rsidR="00473F10">
        <w:rPr>
          <w:rFonts w:cs="Arial"/>
        </w:rPr>
        <w:tab/>
      </w:r>
      <w:r w:rsidR="009E3BA5">
        <w:rPr>
          <w:rFonts w:cs="Arial"/>
        </w:rPr>
        <w:t xml:space="preserve">together to finalise the letter to the Chief Executive of the Barking, Havering and Redbridge </w:t>
      </w:r>
      <w:r w:rsidR="00473F10">
        <w:rPr>
          <w:rFonts w:cs="Arial"/>
        </w:rPr>
        <w:tab/>
      </w:r>
      <w:r w:rsidR="009E3BA5">
        <w:rPr>
          <w:rFonts w:cs="Arial"/>
        </w:rPr>
        <w:t>University Hospitals NHS Trust post the Stage 2 meeting.</w:t>
      </w:r>
    </w:p>
    <w:p w:rsidR="000C360B" w:rsidRPr="007745FB" w:rsidRDefault="000C360B" w:rsidP="008127DF">
      <w:pPr>
        <w:pStyle w:val="ListBullet"/>
        <w:numPr>
          <w:ilvl w:val="0"/>
          <w:numId w:val="0"/>
        </w:numPr>
        <w:rPr>
          <w:rFonts w:cs="Arial"/>
        </w:rPr>
      </w:pPr>
    </w:p>
    <w:p w:rsidR="008127DF" w:rsidRDefault="008127DF" w:rsidP="000C360B">
      <w:pPr>
        <w:tabs>
          <w:tab w:val="left" w:pos="9678"/>
        </w:tabs>
        <w:ind w:left="709"/>
        <w:rPr>
          <w:rFonts w:cs="Arial"/>
        </w:rPr>
      </w:pPr>
      <w:r>
        <w:rPr>
          <w:rFonts w:cs="Arial"/>
        </w:rPr>
        <w:t>The Stage 2 Performance and Escalation meetings for the following three trusts are being arranged for the month of May:</w:t>
      </w:r>
    </w:p>
    <w:p w:rsidR="008127DF" w:rsidRPr="008127DF" w:rsidRDefault="008127DF" w:rsidP="008127DF">
      <w:pPr>
        <w:pStyle w:val="ListBullet"/>
        <w:numPr>
          <w:ilvl w:val="0"/>
          <w:numId w:val="20"/>
        </w:numPr>
      </w:pPr>
      <w:r w:rsidRPr="008127DF">
        <w:t xml:space="preserve">Croydon Health Services NHS Trust; </w:t>
      </w:r>
    </w:p>
    <w:p w:rsidR="008127DF" w:rsidRPr="008127DF" w:rsidRDefault="008127DF" w:rsidP="008127DF">
      <w:pPr>
        <w:pStyle w:val="ListBullet"/>
        <w:numPr>
          <w:ilvl w:val="0"/>
          <w:numId w:val="20"/>
        </w:numPr>
      </w:pPr>
      <w:r w:rsidRPr="008127DF">
        <w:t>South London Healthcare NHS Trust; and</w:t>
      </w:r>
    </w:p>
    <w:p w:rsidR="008127DF" w:rsidRPr="008127DF" w:rsidRDefault="008127DF" w:rsidP="008127DF">
      <w:pPr>
        <w:pStyle w:val="ListBullet"/>
        <w:numPr>
          <w:ilvl w:val="0"/>
          <w:numId w:val="20"/>
        </w:numPr>
      </w:pPr>
      <w:r w:rsidRPr="008127DF">
        <w:t>South West London and St George's NHS Trust</w:t>
      </w:r>
    </w:p>
    <w:p w:rsidR="008127DF" w:rsidRDefault="008127DF" w:rsidP="000C360B">
      <w:pPr>
        <w:tabs>
          <w:tab w:val="left" w:pos="9678"/>
        </w:tabs>
        <w:ind w:left="709"/>
        <w:rPr>
          <w:rFonts w:cs="Arial"/>
        </w:rPr>
      </w:pPr>
    </w:p>
    <w:bookmarkEnd w:id="1"/>
    <w:p w:rsidR="00C372EA" w:rsidRDefault="007A03EC" w:rsidP="00C372EA">
      <w:pPr>
        <w:rPr>
          <w:rFonts w:cs="Arial"/>
          <w:b/>
          <w:sz w:val="28"/>
          <w:szCs w:val="28"/>
        </w:rPr>
      </w:pPr>
      <w:r>
        <w:br/>
      </w:r>
      <w:r w:rsidR="002E609C">
        <w:rPr>
          <w:b/>
          <w:sz w:val="28"/>
        </w:rPr>
        <w:t>4</w:t>
      </w:r>
      <w:r w:rsidR="002E609C" w:rsidRPr="00366AE1">
        <w:rPr>
          <w:b/>
          <w:sz w:val="28"/>
        </w:rPr>
        <w:tab/>
      </w:r>
      <w:r w:rsidR="00C372EA">
        <w:rPr>
          <w:rFonts w:cs="Arial"/>
          <w:b/>
          <w:sz w:val="28"/>
          <w:szCs w:val="28"/>
        </w:rPr>
        <w:t>Accountability Agreement</w:t>
      </w:r>
    </w:p>
    <w:p w:rsidR="000F353F" w:rsidRDefault="00C372EA">
      <w:pPr>
        <w:jc w:val="both"/>
        <w:rPr>
          <w:rFonts w:cs="Arial"/>
          <w:sz w:val="28"/>
          <w:szCs w:val="28"/>
        </w:rPr>
      </w:pPr>
      <w:r>
        <w:rPr>
          <w:rFonts w:cs="Arial"/>
          <w:b/>
          <w:sz w:val="28"/>
          <w:szCs w:val="28"/>
        </w:rPr>
        <w:tab/>
      </w:r>
      <w:r w:rsidR="009E3BA5">
        <w:rPr>
          <w:rFonts w:cs="Arial"/>
        </w:rPr>
        <w:t>Accountability Agreements</w:t>
      </w:r>
      <w:r w:rsidR="00B95384">
        <w:rPr>
          <w:rFonts w:cs="Arial"/>
        </w:rPr>
        <w:t xml:space="preserve"> </w:t>
      </w:r>
      <w:r w:rsidR="009E3BA5">
        <w:rPr>
          <w:rFonts w:cs="Arial"/>
        </w:rPr>
        <w:t xml:space="preserve">to underpin the TFAs have been signed off with </w:t>
      </w:r>
      <w:r w:rsidR="00473F10">
        <w:rPr>
          <w:rFonts w:cs="Arial"/>
        </w:rPr>
        <w:t>fifteen</w:t>
      </w:r>
      <w:r w:rsidR="009E3BA5">
        <w:rPr>
          <w:rFonts w:cs="Arial"/>
        </w:rPr>
        <w:t xml:space="preserve"> </w:t>
      </w:r>
      <w:r w:rsidR="00473F10">
        <w:rPr>
          <w:rFonts w:cs="Arial"/>
        </w:rPr>
        <w:tab/>
      </w:r>
      <w:r w:rsidR="009E3BA5">
        <w:rPr>
          <w:rFonts w:cs="Arial"/>
        </w:rPr>
        <w:t>aspirant Foundation Trust</w:t>
      </w:r>
      <w:r w:rsidR="006B4433">
        <w:rPr>
          <w:rFonts w:cs="Arial"/>
        </w:rPr>
        <w:t xml:space="preserve">s.  The following trusts are currently working through their </w:t>
      </w:r>
      <w:r w:rsidR="006B4433">
        <w:rPr>
          <w:rFonts w:cs="Arial"/>
        </w:rPr>
        <w:tab/>
        <w:t>Accountability Agreements with the support of their respective clusters:</w:t>
      </w:r>
    </w:p>
    <w:p w:rsidR="008B442C" w:rsidRDefault="000707B0" w:rsidP="001B045A">
      <w:pPr>
        <w:ind w:left="709" w:hanging="283"/>
        <w:jc w:val="both"/>
        <w:rPr>
          <w:rFonts w:cs="Arial"/>
          <w:sz w:val="22"/>
          <w:szCs w:val="22"/>
        </w:rPr>
      </w:pPr>
      <w:r w:rsidRPr="00A01860">
        <w:rPr>
          <w:rFonts w:cs="Arial"/>
        </w:rPr>
        <w:tab/>
      </w:r>
    </w:p>
    <w:p w:rsidR="00D04024" w:rsidRDefault="00D04024" w:rsidP="00737CD8">
      <w:pPr>
        <w:pStyle w:val="ListBullet"/>
        <w:numPr>
          <w:ilvl w:val="0"/>
          <w:numId w:val="20"/>
        </w:numPr>
        <w:jc w:val="both"/>
      </w:pPr>
      <w:r w:rsidRPr="00EF2403">
        <w:t xml:space="preserve">Barts Health </w:t>
      </w:r>
      <w:r>
        <w:t xml:space="preserve">NHS Trust </w:t>
      </w:r>
      <w:r w:rsidRPr="00EF2403">
        <w:t xml:space="preserve">– </w:t>
      </w:r>
      <w:r>
        <w:t>Trust is working on their agreement which is due back in summer</w:t>
      </w:r>
    </w:p>
    <w:p w:rsidR="000F353F" w:rsidRDefault="00EF2403" w:rsidP="00737CD8">
      <w:pPr>
        <w:pStyle w:val="ListBullet"/>
        <w:numPr>
          <w:ilvl w:val="0"/>
          <w:numId w:val="20"/>
        </w:numPr>
        <w:jc w:val="both"/>
      </w:pPr>
      <w:r w:rsidRPr="00EF2403">
        <w:t>Croydon</w:t>
      </w:r>
      <w:r w:rsidR="001029A9">
        <w:t xml:space="preserve"> Health Services</w:t>
      </w:r>
      <w:r w:rsidR="00D04024">
        <w:t xml:space="preserve"> NHS Trust</w:t>
      </w:r>
      <w:r w:rsidR="001029A9">
        <w:t xml:space="preserve"> </w:t>
      </w:r>
      <w:r w:rsidR="00CD14AB">
        <w:t xml:space="preserve"> – in the process of being updated by the Trust</w:t>
      </w:r>
    </w:p>
    <w:p w:rsidR="00E546CF" w:rsidRDefault="00EF2403" w:rsidP="00737CD8">
      <w:pPr>
        <w:pStyle w:val="ListBullet"/>
        <w:numPr>
          <w:ilvl w:val="0"/>
          <w:numId w:val="20"/>
        </w:numPr>
        <w:jc w:val="both"/>
      </w:pPr>
      <w:r w:rsidRPr="00EF2403">
        <w:t xml:space="preserve">Imperial </w:t>
      </w:r>
      <w:r w:rsidR="001029A9">
        <w:t xml:space="preserve">Healthcare NHS Trust </w:t>
      </w:r>
      <w:r w:rsidR="00092750" w:rsidRPr="00EF2403">
        <w:t>–</w:t>
      </w:r>
      <w:r w:rsidRPr="00EF2403">
        <w:t xml:space="preserve"> </w:t>
      </w:r>
      <w:r w:rsidR="00473F10">
        <w:t>d</w:t>
      </w:r>
      <w:r w:rsidRPr="00EF2403">
        <w:t xml:space="preserve">ue to be returned from </w:t>
      </w:r>
      <w:r w:rsidR="00CD14AB">
        <w:t>the T</w:t>
      </w:r>
      <w:r w:rsidRPr="00EF2403">
        <w:t>rust</w:t>
      </w:r>
    </w:p>
    <w:p w:rsidR="000F353F" w:rsidRDefault="00E546CF" w:rsidP="00737CD8">
      <w:pPr>
        <w:pStyle w:val="ListBullet"/>
        <w:numPr>
          <w:ilvl w:val="0"/>
          <w:numId w:val="20"/>
        </w:numPr>
        <w:jc w:val="both"/>
      </w:pPr>
      <w:r>
        <w:t>Lo</w:t>
      </w:r>
      <w:r w:rsidR="00CD14AB">
        <w:t>ndon Ambulance Service</w:t>
      </w:r>
      <w:r w:rsidR="00EF2403" w:rsidRPr="00EF2403">
        <w:t xml:space="preserve"> </w:t>
      </w:r>
      <w:r w:rsidR="00D04024">
        <w:t xml:space="preserve">NHS Trust </w:t>
      </w:r>
      <w:r w:rsidR="00EF2403" w:rsidRPr="00EF2403">
        <w:t>–</w:t>
      </w:r>
      <w:r w:rsidR="006B4433">
        <w:t xml:space="preserve"> </w:t>
      </w:r>
      <w:r w:rsidR="00CD14AB">
        <w:t xml:space="preserve">sent back to the Trust for </w:t>
      </w:r>
      <w:r w:rsidR="006B4433">
        <w:t xml:space="preserve">further </w:t>
      </w:r>
      <w:r w:rsidR="00CD14AB">
        <w:t>amendments</w:t>
      </w:r>
    </w:p>
    <w:p w:rsidR="00D04024" w:rsidRDefault="00D04024" w:rsidP="00737CD8">
      <w:pPr>
        <w:pStyle w:val="ListBullet"/>
        <w:numPr>
          <w:ilvl w:val="0"/>
          <w:numId w:val="20"/>
        </w:numPr>
        <w:jc w:val="both"/>
      </w:pPr>
      <w:r w:rsidRPr="00EF2403">
        <w:t>SWL &amp; St Georges</w:t>
      </w:r>
      <w:r>
        <w:t xml:space="preserve"> Mental Health NHS Trust </w:t>
      </w:r>
      <w:r w:rsidRPr="00EF2403">
        <w:t xml:space="preserve"> – </w:t>
      </w:r>
      <w:r>
        <w:t>d</w:t>
      </w:r>
      <w:r w:rsidRPr="00EF2403">
        <w:t xml:space="preserve">ue to be returned from </w:t>
      </w:r>
      <w:r w:rsidR="00CF5F39">
        <w:t>T</w:t>
      </w:r>
      <w:r w:rsidRPr="00EF2403">
        <w:t>rust, signed and agreed by cluster by 30th April</w:t>
      </w:r>
    </w:p>
    <w:p w:rsidR="00D04024" w:rsidRDefault="00D04024" w:rsidP="00737CD8">
      <w:pPr>
        <w:pStyle w:val="ListBullet"/>
        <w:numPr>
          <w:ilvl w:val="0"/>
          <w:numId w:val="20"/>
        </w:numPr>
        <w:jc w:val="both"/>
      </w:pPr>
      <w:r>
        <w:t xml:space="preserve">The Whittington Hospital NHS Trust  </w:t>
      </w:r>
      <w:r w:rsidR="00092750" w:rsidRPr="00EF2403">
        <w:t>–</w:t>
      </w:r>
      <w:r>
        <w:t xml:space="preserve"> Trust is currently revising the agreement in light of comments sent by the SHA</w:t>
      </w:r>
    </w:p>
    <w:p w:rsidR="00D04024" w:rsidRDefault="00D04024" w:rsidP="00737CD8">
      <w:pPr>
        <w:pStyle w:val="ListBullet"/>
        <w:numPr>
          <w:ilvl w:val="0"/>
          <w:numId w:val="20"/>
        </w:numPr>
        <w:jc w:val="both"/>
      </w:pPr>
      <w:r>
        <w:t xml:space="preserve">West London Mental Health NHS Trust  </w:t>
      </w:r>
      <w:r w:rsidRPr="00EF2403">
        <w:t xml:space="preserve">– </w:t>
      </w:r>
      <w:r>
        <w:t>sent back to the Trust for further amendments</w:t>
      </w:r>
    </w:p>
    <w:p w:rsidR="000F353F" w:rsidRDefault="000F353F">
      <w:pPr>
        <w:rPr>
          <w:rFonts w:cs="Arial"/>
        </w:rPr>
      </w:pPr>
    </w:p>
    <w:p w:rsidR="00E546CF" w:rsidRPr="008613BD" w:rsidRDefault="00E546CF" w:rsidP="003A6ABD">
      <w:pPr>
        <w:jc w:val="both"/>
        <w:rPr>
          <w:rFonts w:cs="Arial"/>
        </w:rPr>
      </w:pPr>
    </w:p>
    <w:p w:rsidR="00750FC2" w:rsidRDefault="00F95A52" w:rsidP="00750FC2">
      <w:pPr>
        <w:rPr>
          <w:rFonts w:cs="Arial"/>
          <w:b/>
          <w:sz w:val="28"/>
          <w:szCs w:val="28"/>
        </w:rPr>
      </w:pPr>
      <w:r>
        <w:rPr>
          <w:rFonts w:cs="Arial"/>
          <w:b/>
          <w:sz w:val="28"/>
          <w:szCs w:val="28"/>
        </w:rPr>
        <w:t>5</w:t>
      </w:r>
      <w:r w:rsidR="00750FC2">
        <w:rPr>
          <w:rFonts w:cs="Arial"/>
          <w:b/>
          <w:sz w:val="28"/>
          <w:szCs w:val="28"/>
        </w:rPr>
        <w:tab/>
        <w:t>Next steps</w:t>
      </w:r>
    </w:p>
    <w:p w:rsidR="00C372EA" w:rsidRDefault="00C372EA" w:rsidP="00737CD8">
      <w:pPr>
        <w:ind w:left="720" w:hanging="720"/>
        <w:jc w:val="both"/>
        <w:rPr>
          <w:rFonts w:cs="Arial"/>
        </w:rPr>
      </w:pPr>
      <w:r>
        <w:rPr>
          <w:rFonts w:cs="Arial"/>
          <w:b/>
          <w:sz w:val="28"/>
          <w:szCs w:val="28"/>
        </w:rPr>
        <w:tab/>
      </w:r>
      <w:r w:rsidRPr="00035A31">
        <w:rPr>
          <w:rFonts w:cs="Arial"/>
        </w:rPr>
        <w:t xml:space="preserve">The next steps </w:t>
      </w:r>
      <w:r w:rsidR="000C360B" w:rsidRPr="00035A31">
        <w:rPr>
          <w:rFonts w:cs="Arial"/>
        </w:rPr>
        <w:t>for the directorate are outlined below</w:t>
      </w:r>
      <w:r w:rsidRPr="00035A31">
        <w:rPr>
          <w:rFonts w:cs="Arial"/>
        </w:rPr>
        <w:t>:</w:t>
      </w:r>
    </w:p>
    <w:p w:rsidR="00EC6A32" w:rsidRPr="00035A31" w:rsidRDefault="00EC6A32" w:rsidP="00737CD8">
      <w:pPr>
        <w:ind w:left="720" w:hanging="720"/>
        <w:jc w:val="both"/>
        <w:rPr>
          <w:rFonts w:cs="Arial"/>
        </w:rPr>
      </w:pPr>
    </w:p>
    <w:p w:rsidR="00C372EA" w:rsidRDefault="00C372EA" w:rsidP="00737CD8">
      <w:pPr>
        <w:ind w:left="720" w:hanging="720"/>
        <w:jc w:val="both"/>
        <w:rPr>
          <w:rFonts w:cs="Arial"/>
        </w:rPr>
      </w:pPr>
      <w:r w:rsidRPr="00035A31">
        <w:rPr>
          <w:rFonts w:cs="Arial"/>
        </w:rPr>
        <w:tab/>
        <w:t xml:space="preserve"> - To ensure th</w:t>
      </w:r>
      <w:r w:rsidR="001D5155">
        <w:rPr>
          <w:rFonts w:cs="Arial"/>
        </w:rPr>
        <w:t xml:space="preserve">at the remaining </w:t>
      </w:r>
      <w:r w:rsidR="00473F10">
        <w:rPr>
          <w:rFonts w:cs="Arial"/>
        </w:rPr>
        <w:t>seven</w:t>
      </w:r>
      <w:r w:rsidRPr="00035A31">
        <w:rPr>
          <w:rFonts w:cs="Arial"/>
        </w:rPr>
        <w:t xml:space="preserve"> Accountability Agreements with trusts are in place by </w:t>
      </w:r>
      <w:r w:rsidR="00CF5F39">
        <w:rPr>
          <w:rFonts w:cs="Arial"/>
        </w:rPr>
        <w:t xml:space="preserve">the </w:t>
      </w:r>
      <w:r w:rsidR="006B4433">
        <w:rPr>
          <w:rFonts w:cs="Arial"/>
        </w:rPr>
        <w:t>end of May with the exception of Barts</w:t>
      </w:r>
      <w:r w:rsidR="001875D0">
        <w:rPr>
          <w:rFonts w:cs="Arial"/>
        </w:rPr>
        <w:t xml:space="preserve"> </w:t>
      </w:r>
      <w:r w:rsidR="006B4433">
        <w:rPr>
          <w:rFonts w:cs="Arial"/>
        </w:rPr>
        <w:t>Health NHS Trust</w:t>
      </w:r>
      <w:r w:rsidR="00D04024">
        <w:rPr>
          <w:rFonts w:cs="Arial"/>
        </w:rPr>
        <w:t xml:space="preserve"> (will</w:t>
      </w:r>
      <w:r w:rsidR="006B4433">
        <w:rPr>
          <w:rFonts w:cs="Arial"/>
        </w:rPr>
        <w:t xml:space="preserve"> be submitting its Accountability Agreement in summer 2012</w:t>
      </w:r>
      <w:r w:rsidR="00D04024">
        <w:rPr>
          <w:rFonts w:cs="Arial"/>
        </w:rPr>
        <w:t>)</w:t>
      </w:r>
      <w:r w:rsidR="006B4433">
        <w:rPr>
          <w:rFonts w:cs="Arial"/>
        </w:rPr>
        <w:t>.  Provider Development will continue to</w:t>
      </w:r>
      <w:r w:rsidR="00035A31">
        <w:rPr>
          <w:rFonts w:cs="Arial"/>
        </w:rPr>
        <w:t xml:space="preserve"> </w:t>
      </w:r>
      <w:r w:rsidRPr="00035A31">
        <w:rPr>
          <w:rFonts w:cs="Arial"/>
        </w:rPr>
        <w:t xml:space="preserve">monitor the </w:t>
      </w:r>
      <w:r w:rsidR="001875D0">
        <w:rPr>
          <w:rFonts w:cs="Arial"/>
        </w:rPr>
        <w:t>A</w:t>
      </w:r>
      <w:r w:rsidR="006B4433">
        <w:rPr>
          <w:rFonts w:cs="Arial"/>
        </w:rPr>
        <w:t xml:space="preserve">ccountability </w:t>
      </w:r>
      <w:r w:rsidR="001875D0">
        <w:rPr>
          <w:rFonts w:cs="Arial"/>
        </w:rPr>
        <w:t>A</w:t>
      </w:r>
      <w:r w:rsidR="001875D0" w:rsidRPr="00035A31">
        <w:rPr>
          <w:rFonts w:cs="Arial"/>
        </w:rPr>
        <w:t xml:space="preserve">greements </w:t>
      </w:r>
      <w:r w:rsidRPr="00035A31">
        <w:rPr>
          <w:rFonts w:cs="Arial"/>
        </w:rPr>
        <w:t>and TFAs going forward</w:t>
      </w:r>
      <w:r w:rsidR="00EC6A32">
        <w:rPr>
          <w:rFonts w:cs="Arial"/>
        </w:rPr>
        <w:t>.</w:t>
      </w:r>
    </w:p>
    <w:p w:rsidR="00EC6A32" w:rsidRPr="00035A31" w:rsidRDefault="00EC6A32" w:rsidP="00737CD8">
      <w:pPr>
        <w:ind w:left="720" w:hanging="720"/>
        <w:jc w:val="both"/>
        <w:rPr>
          <w:rFonts w:cs="Arial"/>
        </w:rPr>
      </w:pPr>
    </w:p>
    <w:p w:rsidR="00C372EA" w:rsidRDefault="00C372EA" w:rsidP="00737CD8">
      <w:pPr>
        <w:ind w:left="720" w:hanging="720"/>
        <w:jc w:val="both"/>
        <w:rPr>
          <w:rFonts w:cs="Arial"/>
        </w:rPr>
      </w:pPr>
      <w:r w:rsidRPr="00035A31">
        <w:rPr>
          <w:rFonts w:cs="Arial"/>
        </w:rPr>
        <w:lastRenderedPageBreak/>
        <w:tab/>
        <w:t xml:space="preserve">- To monitor </w:t>
      </w:r>
      <w:r w:rsidR="00B76215" w:rsidRPr="00035A31">
        <w:rPr>
          <w:rFonts w:cs="Arial"/>
        </w:rPr>
        <w:t xml:space="preserve">the </w:t>
      </w:r>
      <w:r w:rsidR="00B76215">
        <w:rPr>
          <w:rFonts w:cs="Arial"/>
        </w:rPr>
        <w:t>achievement</w:t>
      </w:r>
      <w:r w:rsidR="00DC667F">
        <w:rPr>
          <w:rFonts w:cs="Arial"/>
        </w:rPr>
        <w:t xml:space="preserve"> of the agreed actions for the </w:t>
      </w:r>
      <w:r w:rsidRPr="00035A31">
        <w:rPr>
          <w:rFonts w:cs="Arial"/>
        </w:rPr>
        <w:t>five trusts in the</w:t>
      </w:r>
      <w:r w:rsidR="0070755D">
        <w:rPr>
          <w:rFonts w:cs="Arial"/>
        </w:rPr>
        <w:t xml:space="preserve"> Stage 2 DH Performance </w:t>
      </w:r>
      <w:r w:rsidR="006038A9">
        <w:rPr>
          <w:rFonts w:cs="Arial"/>
        </w:rPr>
        <w:t xml:space="preserve">and </w:t>
      </w:r>
      <w:r w:rsidR="006038A9" w:rsidRPr="00035A31">
        <w:rPr>
          <w:rFonts w:cs="Arial"/>
        </w:rPr>
        <w:t>Escalation</w:t>
      </w:r>
      <w:r w:rsidRPr="00035A31">
        <w:rPr>
          <w:rFonts w:cs="Arial"/>
        </w:rPr>
        <w:t xml:space="preserve"> process</w:t>
      </w:r>
      <w:r w:rsidR="00EC6A32">
        <w:rPr>
          <w:rFonts w:cs="Arial"/>
        </w:rPr>
        <w:t>.</w:t>
      </w:r>
    </w:p>
    <w:p w:rsidR="00EC6A32" w:rsidRPr="00035A31" w:rsidRDefault="00EC6A32" w:rsidP="00737CD8">
      <w:pPr>
        <w:ind w:left="720" w:hanging="720"/>
        <w:jc w:val="both"/>
        <w:rPr>
          <w:rFonts w:cs="Arial"/>
        </w:rPr>
      </w:pPr>
    </w:p>
    <w:p w:rsidR="00C372EA" w:rsidRDefault="00C372EA" w:rsidP="00737CD8">
      <w:pPr>
        <w:ind w:left="720" w:hanging="720"/>
        <w:jc w:val="both"/>
        <w:rPr>
          <w:rFonts w:cs="Arial"/>
        </w:rPr>
      </w:pPr>
      <w:r w:rsidRPr="00035A31">
        <w:rPr>
          <w:rFonts w:cs="Arial"/>
        </w:rPr>
        <w:tab/>
        <w:t xml:space="preserve">- To contribute to the further development of the National Single Operating </w:t>
      </w:r>
      <w:r w:rsidR="00E612F5" w:rsidRPr="00035A31">
        <w:rPr>
          <w:rFonts w:cs="Arial"/>
        </w:rPr>
        <w:t>Model in</w:t>
      </w:r>
      <w:r w:rsidRPr="00035A31">
        <w:rPr>
          <w:rFonts w:cs="Arial"/>
        </w:rPr>
        <w:t xml:space="preserve"> reference </w:t>
      </w:r>
      <w:r w:rsidR="00B73CF9" w:rsidRPr="00035A31">
        <w:rPr>
          <w:rFonts w:cs="Arial"/>
        </w:rPr>
        <w:t xml:space="preserve">to </w:t>
      </w:r>
      <w:r w:rsidR="000D7CD8">
        <w:rPr>
          <w:rFonts w:cs="Arial"/>
        </w:rPr>
        <w:t xml:space="preserve">remaining </w:t>
      </w:r>
      <w:r w:rsidR="001875D0">
        <w:rPr>
          <w:rFonts w:cs="Arial"/>
        </w:rPr>
        <w:t xml:space="preserve">four </w:t>
      </w:r>
      <w:r w:rsidR="00D04024">
        <w:rPr>
          <w:rFonts w:cs="Arial"/>
        </w:rPr>
        <w:t>phases:</w:t>
      </w:r>
      <w:r w:rsidR="001875D0">
        <w:rPr>
          <w:rFonts w:cs="Arial"/>
        </w:rPr>
        <w:t xml:space="preserve"> </w:t>
      </w:r>
      <w:r w:rsidR="001875D0" w:rsidRPr="001875D0">
        <w:rPr>
          <w:rFonts w:cs="Arial"/>
        </w:rPr>
        <w:t>D</w:t>
      </w:r>
      <w:r w:rsidR="001875D0">
        <w:rPr>
          <w:rFonts w:cs="Arial"/>
        </w:rPr>
        <w:t xml:space="preserve">H &amp; SHA oversight of NHS Trusts; </w:t>
      </w:r>
      <w:r w:rsidR="001875D0" w:rsidRPr="001875D0">
        <w:rPr>
          <w:rFonts w:cs="Arial"/>
        </w:rPr>
        <w:t>DH FT assurance process</w:t>
      </w:r>
      <w:r w:rsidR="001875D0">
        <w:rPr>
          <w:rFonts w:cs="Arial"/>
        </w:rPr>
        <w:t xml:space="preserve">; </w:t>
      </w:r>
      <w:r w:rsidR="001875D0" w:rsidRPr="001875D0">
        <w:rPr>
          <w:rFonts w:cs="Arial"/>
        </w:rPr>
        <w:t xml:space="preserve">consistency of decision making </w:t>
      </w:r>
      <w:r w:rsidR="001875D0">
        <w:rPr>
          <w:rFonts w:cs="Arial"/>
        </w:rPr>
        <w:t>and a</w:t>
      </w:r>
      <w:r w:rsidR="001875D0" w:rsidRPr="001875D0">
        <w:rPr>
          <w:rFonts w:cs="Arial"/>
        </w:rPr>
        <w:t>ssurance of major transactions</w:t>
      </w:r>
      <w:r w:rsidR="00EC6A32">
        <w:rPr>
          <w:rFonts w:cs="Arial"/>
        </w:rPr>
        <w:t>.</w:t>
      </w:r>
    </w:p>
    <w:p w:rsidR="00EC6A32" w:rsidRPr="00035A31" w:rsidRDefault="00EC6A32" w:rsidP="00737CD8">
      <w:pPr>
        <w:ind w:left="720" w:hanging="720"/>
        <w:jc w:val="both"/>
        <w:rPr>
          <w:rFonts w:cs="Arial"/>
        </w:rPr>
      </w:pPr>
    </w:p>
    <w:p w:rsidR="00C372EA" w:rsidRDefault="00C372EA" w:rsidP="00737CD8">
      <w:pPr>
        <w:ind w:left="720" w:hanging="720"/>
        <w:jc w:val="both"/>
        <w:rPr>
          <w:rFonts w:cs="Arial"/>
        </w:rPr>
      </w:pPr>
      <w:r w:rsidRPr="00035A31">
        <w:rPr>
          <w:rFonts w:cs="Arial"/>
        </w:rPr>
        <w:tab/>
        <w:t>- To work with the independent suppliers in relation to the Board Governance Assurance Framework self-assessments and effectively monitor action plans arising from these assessments</w:t>
      </w:r>
      <w:r w:rsidR="00EC6A32">
        <w:rPr>
          <w:rFonts w:cs="Arial"/>
        </w:rPr>
        <w:t>.</w:t>
      </w:r>
    </w:p>
    <w:p w:rsidR="00EC6A32" w:rsidRPr="00035A31" w:rsidRDefault="00EC6A32" w:rsidP="00737CD8">
      <w:pPr>
        <w:ind w:left="720" w:hanging="720"/>
        <w:jc w:val="both"/>
        <w:rPr>
          <w:rFonts w:cs="Arial"/>
        </w:rPr>
      </w:pPr>
    </w:p>
    <w:p w:rsidR="00C372EA" w:rsidRPr="00035A31" w:rsidRDefault="00C372EA" w:rsidP="00E546CF">
      <w:pPr>
        <w:ind w:left="720" w:hanging="720"/>
        <w:jc w:val="both"/>
        <w:rPr>
          <w:rFonts w:cs="Arial"/>
        </w:rPr>
      </w:pPr>
      <w:r w:rsidRPr="00035A31">
        <w:rPr>
          <w:rFonts w:cs="Arial"/>
        </w:rPr>
        <w:tab/>
        <w:t>- To work collaboratively with</w:t>
      </w:r>
      <w:r w:rsidR="00050FE4" w:rsidRPr="00035A31">
        <w:rPr>
          <w:rFonts w:cs="Arial"/>
        </w:rPr>
        <w:t xml:space="preserve"> the</w:t>
      </w:r>
      <w:r w:rsidRPr="00035A31">
        <w:rPr>
          <w:rFonts w:cs="Arial"/>
        </w:rPr>
        <w:t xml:space="preserve"> Leading for Health team in the People and Organisational Development directorate in order to provide support for Board Development for the aspirant FTs</w:t>
      </w:r>
      <w:r w:rsidR="00E546CF">
        <w:rPr>
          <w:rFonts w:cs="Arial"/>
        </w:rPr>
        <w:t xml:space="preserve"> and </w:t>
      </w:r>
      <w:r w:rsidRPr="00035A31">
        <w:rPr>
          <w:rFonts w:cs="Arial"/>
        </w:rPr>
        <w:t xml:space="preserve">continue to work collaboratively with other directorates at the SHA to deliver the </w:t>
      </w:r>
      <w:r w:rsidR="001875D0">
        <w:rPr>
          <w:rFonts w:cs="Arial"/>
        </w:rPr>
        <w:t xml:space="preserve">objectives </w:t>
      </w:r>
      <w:r w:rsidRPr="00035A31">
        <w:rPr>
          <w:rFonts w:cs="Arial"/>
        </w:rPr>
        <w:t>of the directorate</w:t>
      </w:r>
      <w:r w:rsidR="00EC6A32">
        <w:rPr>
          <w:rFonts w:cs="Arial"/>
        </w:rPr>
        <w:t>.</w:t>
      </w:r>
    </w:p>
    <w:p w:rsidR="00C372EA" w:rsidRDefault="00C372EA" w:rsidP="00750FC2">
      <w:pPr>
        <w:rPr>
          <w:rFonts w:cs="Arial"/>
          <w:b/>
          <w:sz w:val="28"/>
          <w:szCs w:val="28"/>
        </w:rPr>
      </w:pPr>
    </w:p>
    <w:p w:rsidR="00D058B5" w:rsidRDefault="00FC7506" w:rsidP="00750FC2">
      <w:pPr>
        <w:rPr>
          <w:rFonts w:cs="Arial"/>
          <w:b/>
          <w:sz w:val="28"/>
          <w:szCs w:val="28"/>
        </w:rPr>
      </w:pPr>
      <w:r>
        <w:rPr>
          <w:rFonts w:cs="Arial"/>
          <w:b/>
          <w:sz w:val="28"/>
          <w:szCs w:val="28"/>
        </w:rPr>
        <w:tab/>
      </w:r>
      <w:r>
        <w:t xml:space="preserve">List of FT application submission dates to DH and target authorisation dates for aspirant </w:t>
      </w:r>
      <w:r>
        <w:tab/>
      </w:r>
      <w:r w:rsidR="000364E5">
        <w:t>FTs</w:t>
      </w:r>
      <w:r>
        <w:t xml:space="preserve"> </w:t>
      </w:r>
      <w:r w:rsidR="00284736" w:rsidRPr="00284736">
        <w:t>-</w:t>
      </w:r>
      <w:r w:rsidR="00284736">
        <w:rPr>
          <w:b/>
        </w:rPr>
        <w:t xml:space="preserve"> </w:t>
      </w:r>
      <w:r w:rsidRPr="00FC7506">
        <w:rPr>
          <w:rFonts w:cs="Arial"/>
          <w:b/>
        </w:rPr>
        <w:t xml:space="preserve">Appendix </w:t>
      </w:r>
      <w:r w:rsidR="000A645B">
        <w:rPr>
          <w:rFonts w:cs="Arial"/>
          <w:b/>
        </w:rPr>
        <w:t>3</w:t>
      </w:r>
      <w:r w:rsidR="000A645B">
        <w:rPr>
          <w:rFonts w:cs="Arial"/>
          <w:b/>
          <w:sz w:val="28"/>
          <w:szCs w:val="28"/>
        </w:rPr>
        <w:t xml:space="preserve"> </w:t>
      </w:r>
      <w:r>
        <w:t>attached for information.</w:t>
      </w:r>
    </w:p>
    <w:p w:rsidR="000F353F" w:rsidRDefault="000F353F">
      <w:pPr>
        <w:rPr>
          <w:rFonts w:cs="Arial"/>
        </w:rPr>
      </w:pPr>
    </w:p>
    <w:sectPr w:rsidR="000F353F" w:rsidSect="0099764F">
      <w:pgSz w:w="11906" w:h="16838" w:code="9"/>
      <w:pgMar w:top="1440" w:right="720" w:bottom="709"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EC" w:rsidRDefault="00872FEC">
      <w:r>
        <w:separator/>
      </w:r>
    </w:p>
  </w:endnote>
  <w:endnote w:type="continuationSeparator" w:id="0">
    <w:p w:rsidR="00872FEC" w:rsidRDefault="0087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42897"/>
      <w:docPartObj>
        <w:docPartGallery w:val="Page Numbers (Bottom of Page)"/>
        <w:docPartUnique/>
      </w:docPartObj>
    </w:sdtPr>
    <w:sdtEndPr/>
    <w:sdtContent>
      <w:p w:rsidR="005B3438" w:rsidRDefault="00872FEC">
        <w:pPr>
          <w:pStyle w:val="Footer"/>
          <w:jc w:val="right"/>
        </w:pPr>
        <w:r>
          <w:fldChar w:fldCharType="begin"/>
        </w:r>
        <w:r>
          <w:instrText xml:space="preserve"> PAGE   \* MERGEFORMAT </w:instrText>
        </w:r>
        <w:r>
          <w:fldChar w:fldCharType="separate"/>
        </w:r>
        <w:r w:rsidR="00E120EA">
          <w:rPr>
            <w:noProof/>
          </w:rPr>
          <w:t>8</w:t>
        </w:r>
        <w:r>
          <w:rPr>
            <w:noProof/>
          </w:rPr>
          <w:fldChar w:fldCharType="end"/>
        </w:r>
      </w:p>
    </w:sdtContent>
  </w:sdt>
  <w:p w:rsidR="005B3438" w:rsidRPr="00355EEA" w:rsidRDefault="005B3438" w:rsidP="00730DF6">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38" w:rsidRDefault="005B3438">
    <w:pPr>
      <w:pStyle w:val="Footer"/>
    </w:pPr>
    <w:r>
      <w:rPr>
        <w:noProof/>
      </w:rPr>
      <w:drawing>
        <wp:anchor distT="0" distB="0" distL="114300" distR="114300" simplePos="0" relativeHeight="251656704" behindDoc="0" locked="0" layoutInCell="1" allowOverlap="1">
          <wp:simplePos x="0" y="0"/>
          <wp:positionH relativeFrom="column">
            <wp:posOffset>-1116965</wp:posOffset>
          </wp:positionH>
          <wp:positionV relativeFrom="paragraph">
            <wp:posOffset>-378460</wp:posOffset>
          </wp:positionV>
          <wp:extent cx="7559040" cy="1755140"/>
          <wp:effectExtent l="19050" t="0" r="3810" b="0"/>
          <wp:wrapTight wrapText="bothSides">
            <wp:wrapPolygon edited="0">
              <wp:start x="-54" y="0"/>
              <wp:lineTo x="-54" y="21334"/>
              <wp:lineTo x="21611" y="21334"/>
              <wp:lineTo x="21611" y="0"/>
              <wp:lineTo x="-54" y="0"/>
            </wp:wrapPolygon>
          </wp:wrapTight>
          <wp:docPr id="15" name="Picture 15" descr="A4 Template_head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Template_header footer.jpg"/>
                  <pic:cNvPicPr>
                    <a:picLocks noChangeAspect="1" noChangeArrowheads="1"/>
                  </pic:cNvPicPr>
                </pic:nvPicPr>
                <pic:blipFill>
                  <a:blip r:embed="rId1"/>
                  <a:srcRect/>
                  <a:stretch>
                    <a:fillRect/>
                  </a:stretch>
                </pic:blipFill>
                <pic:spPr bwMode="auto">
                  <a:xfrm>
                    <a:off x="0" y="0"/>
                    <a:ext cx="7559040" cy="17551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EC" w:rsidRDefault="00872FEC">
      <w:r>
        <w:separator/>
      </w:r>
    </w:p>
  </w:footnote>
  <w:footnote w:type="continuationSeparator" w:id="0">
    <w:p w:rsidR="00872FEC" w:rsidRDefault="00872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38" w:rsidRDefault="005B3438">
    <w:pPr>
      <w:pStyle w:val="Header"/>
    </w:pPr>
    <w:r>
      <w:rPr>
        <w:noProof/>
      </w:rPr>
      <w:drawing>
        <wp:anchor distT="0" distB="0" distL="114300" distR="114300" simplePos="0" relativeHeight="251657728" behindDoc="0" locked="0" layoutInCell="1" allowOverlap="1">
          <wp:simplePos x="0" y="0"/>
          <wp:positionH relativeFrom="column">
            <wp:posOffset>-1141095</wp:posOffset>
          </wp:positionH>
          <wp:positionV relativeFrom="paragraph">
            <wp:posOffset>-457200</wp:posOffset>
          </wp:positionV>
          <wp:extent cx="7556500" cy="1143000"/>
          <wp:effectExtent l="19050" t="0" r="6350" b="0"/>
          <wp:wrapTight wrapText="bothSides">
            <wp:wrapPolygon edited="0">
              <wp:start x="-54" y="0"/>
              <wp:lineTo x="-54" y="21240"/>
              <wp:lineTo x="21618" y="21240"/>
              <wp:lineTo x="21618" y="0"/>
              <wp:lineTo x="-54" y="0"/>
            </wp:wrapPolygon>
          </wp:wrapTight>
          <wp:docPr id="13" name="Picture 13" descr="A4 Template_logo only_sh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Template_logo only_shorter"/>
                  <pic:cNvPicPr>
                    <a:picLocks noChangeAspect="1" noChangeArrowheads="1"/>
                  </pic:cNvPicPr>
                </pic:nvPicPr>
                <pic:blipFill>
                  <a:blip r:embed="rId1"/>
                  <a:srcRect/>
                  <a:stretch>
                    <a:fillRect/>
                  </a:stretch>
                </pic:blipFill>
                <pic:spPr bwMode="auto">
                  <a:xfrm>
                    <a:off x="0" y="0"/>
                    <a:ext cx="7556500" cy="1143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38" w:rsidRDefault="005B3438">
    <w:pPr>
      <w:pStyle w:val="Header"/>
    </w:pPr>
    <w:r>
      <w:rPr>
        <w:noProof/>
      </w:rPr>
      <w:drawing>
        <wp:anchor distT="0" distB="0" distL="114300" distR="114300" simplePos="0" relativeHeight="251658752" behindDoc="0" locked="0" layoutInCell="1" allowOverlap="1">
          <wp:simplePos x="0" y="0"/>
          <wp:positionH relativeFrom="column">
            <wp:posOffset>-304800</wp:posOffset>
          </wp:positionH>
          <wp:positionV relativeFrom="paragraph">
            <wp:posOffset>-304800</wp:posOffset>
          </wp:positionV>
          <wp:extent cx="7556500" cy="1143000"/>
          <wp:effectExtent l="19050" t="0" r="6350" b="0"/>
          <wp:wrapTight wrapText="bothSides">
            <wp:wrapPolygon edited="0">
              <wp:start x="-54" y="0"/>
              <wp:lineTo x="-54" y="21240"/>
              <wp:lineTo x="21618" y="21240"/>
              <wp:lineTo x="21618" y="0"/>
              <wp:lineTo x="-54" y="0"/>
            </wp:wrapPolygon>
          </wp:wrapTight>
          <wp:docPr id="14" name="Picture 14" descr="A4 Template_logo only_sh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Template_logo only_shorter"/>
                  <pic:cNvPicPr>
                    <a:picLocks noChangeAspect="1" noChangeArrowheads="1"/>
                  </pic:cNvPicPr>
                </pic:nvPicPr>
                <pic:blipFill>
                  <a:blip r:embed="rId1"/>
                  <a:srcRect/>
                  <a:stretch>
                    <a:fillRect/>
                  </a:stretch>
                </pic:blipFill>
                <pic:spPr bwMode="auto">
                  <a:xfrm>
                    <a:off x="0" y="0"/>
                    <a:ext cx="7556500"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D60060C"/>
    <w:lvl w:ilvl="0">
      <w:start w:val="1"/>
      <w:numFmt w:val="lowerRoman"/>
      <w:pStyle w:val="ListNumber3"/>
      <w:lvlText w:val="%1."/>
      <w:lvlJc w:val="left"/>
      <w:pPr>
        <w:tabs>
          <w:tab w:val="num" w:pos="1854"/>
        </w:tabs>
        <w:ind w:left="1418" w:hanging="284"/>
      </w:pPr>
    </w:lvl>
  </w:abstractNum>
  <w:abstractNum w:abstractNumId="1">
    <w:nsid w:val="FFFFFF7F"/>
    <w:multiLevelType w:val="singleLevel"/>
    <w:tmpl w:val="8FB45700"/>
    <w:lvl w:ilvl="0">
      <w:start w:val="1"/>
      <w:numFmt w:val="lowerLetter"/>
      <w:pStyle w:val="ListNumber2"/>
      <w:lvlText w:val="%1."/>
      <w:lvlJc w:val="left"/>
      <w:pPr>
        <w:tabs>
          <w:tab w:val="num" w:pos="1211"/>
        </w:tabs>
        <w:ind w:left="1134" w:hanging="283"/>
      </w:pPr>
    </w:lvl>
  </w:abstractNum>
  <w:abstractNum w:abstractNumId="2">
    <w:nsid w:val="FFFFFF81"/>
    <w:multiLevelType w:val="singleLevel"/>
    <w:tmpl w:val="092C1854"/>
    <w:lvl w:ilvl="0">
      <w:start w:val="1"/>
      <w:numFmt w:val="bullet"/>
      <w:pStyle w:val="ListBullet4"/>
      <w:lvlText w:val="-"/>
      <w:lvlJc w:val="left"/>
      <w:pPr>
        <w:tabs>
          <w:tab w:val="num" w:pos="1778"/>
        </w:tabs>
        <w:ind w:left="1701" w:hanging="283"/>
      </w:pPr>
      <w:rPr>
        <w:rFonts w:ascii="Times New Roman" w:hAnsi="Times New Roman" w:hint="default"/>
      </w:rPr>
    </w:lvl>
  </w:abstractNum>
  <w:abstractNum w:abstractNumId="3">
    <w:nsid w:val="FFFFFF82"/>
    <w:multiLevelType w:val="singleLevel"/>
    <w:tmpl w:val="025A7906"/>
    <w:lvl w:ilvl="0">
      <w:start w:val="1"/>
      <w:numFmt w:val="bullet"/>
      <w:pStyle w:val="ListBullet3"/>
      <w:lvlText w:val="·"/>
      <w:lvlJc w:val="left"/>
      <w:pPr>
        <w:tabs>
          <w:tab w:val="num" w:pos="1494"/>
        </w:tabs>
        <w:ind w:left="1418" w:hanging="284"/>
      </w:pPr>
      <w:rPr>
        <w:rFonts w:ascii="Times New Roman" w:hAnsi="Times New Roman" w:hint="default"/>
      </w:rPr>
    </w:lvl>
  </w:abstractNum>
  <w:abstractNum w:abstractNumId="4">
    <w:nsid w:val="FFFFFF83"/>
    <w:multiLevelType w:val="singleLevel"/>
    <w:tmpl w:val="539E5490"/>
    <w:lvl w:ilvl="0">
      <w:start w:val="1"/>
      <w:numFmt w:val="bullet"/>
      <w:pStyle w:val="ListBullet2"/>
      <w:lvlText w:val=""/>
      <w:lvlJc w:val="left"/>
      <w:pPr>
        <w:tabs>
          <w:tab w:val="num" w:pos="1211"/>
        </w:tabs>
        <w:ind w:left="1134" w:hanging="283"/>
      </w:pPr>
      <w:rPr>
        <w:rFonts w:ascii="Symbol" w:hAnsi="Symbol" w:hint="default"/>
      </w:rPr>
    </w:lvl>
  </w:abstractNum>
  <w:abstractNum w:abstractNumId="5">
    <w:nsid w:val="FFFFFF88"/>
    <w:multiLevelType w:val="singleLevel"/>
    <w:tmpl w:val="1BD4DEB2"/>
    <w:lvl w:ilvl="0">
      <w:start w:val="1"/>
      <w:numFmt w:val="decimal"/>
      <w:pStyle w:val="ListNumber"/>
      <w:lvlText w:val="%1."/>
      <w:lvlJc w:val="left"/>
      <w:pPr>
        <w:tabs>
          <w:tab w:val="num" w:pos="927"/>
        </w:tabs>
        <w:ind w:left="851" w:hanging="284"/>
      </w:pPr>
    </w:lvl>
  </w:abstractNum>
  <w:abstractNum w:abstractNumId="6">
    <w:nsid w:val="FFFFFF89"/>
    <w:multiLevelType w:val="singleLevel"/>
    <w:tmpl w:val="EC6455BE"/>
    <w:lvl w:ilvl="0">
      <w:start w:val="1"/>
      <w:numFmt w:val="bullet"/>
      <w:pStyle w:val="ListBullet"/>
      <w:lvlText w:val=""/>
      <w:lvlJc w:val="left"/>
      <w:pPr>
        <w:tabs>
          <w:tab w:val="num" w:pos="927"/>
        </w:tabs>
        <w:ind w:left="851" w:hanging="284"/>
      </w:pPr>
      <w:rPr>
        <w:rFonts w:ascii="Symbol" w:hAnsi="Symbol" w:hint="default"/>
      </w:rPr>
    </w:lvl>
  </w:abstractNum>
  <w:abstractNum w:abstractNumId="7">
    <w:nsid w:val="01B10F17"/>
    <w:multiLevelType w:val="hybridMultilevel"/>
    <w:tmpl w:val="DD824E0A"/>
    <w:lvl w:ilvl="0" w:tplc="98A0BB9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C86180C"/>
    <w:multiLevelType w:val="hybridMultilevel"/>
    <w:tmpl w:val="335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F53C3A"/>
    <w:multiLevelType w:val="hybridMultilevel"/>
    <w:tmpl w:val="4988649E"/>
    <w:lvl w:ilvl="0" w:tplc="C37A9C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2514A7"/>
    <w:multiLevelType w:val="hybridMultilevel"/>
    <w:tmpl w:val="8D7A2184"/>
    <w:lvl w:ilvl="0" w:tplc="D898B9A2">
      <w:start w:val="3"/>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nsid w:val="27A82345"/>
    <w:multiLevelType w:val="hybridMultilevel"/>
    <w:tmpl w:val="BB680700"/>
    <w:lvl w:ilvl="0" w:tplc="E5F0CBE2">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nsid w:val="317E63FC"/>
    <w:multiLevelType w:val="multilevel"/>
    <w:tmpl w:val="8CAE972A"/>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lowerLetter"/>
      <w:pStyle w:val="Heading4"/>
      <w:lvlText w:val="%4."/>
      <w:lvlJc w:val="left"/>
      <w:pPr>
        <w:tabs>
          <w:tab w:val="num" w:pos="624"/>
        </w:tabs>
        <w:ind w:left="624" w:hanging="624"/>
      </w:pPr>
      <w:rPr>
        <w:rFonts w:hint="default"/>
        <w:caps w:val="0"/>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13">
    <w:nsid w:val="352A3CE9"/>
    <w:multiLevelType w:val="hybridMultilevel"/>
    <w:tmpl w:val="F1305CC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4">
    <w:nsid w:val="3AC9676D"/>
    <w:multiLevelType w:val="hybridMultilevel"/>
    <w:tmpl w:val="F644289E"/>
    <w:lvl w:ilvl="0" w:tplc="DC14960A">
      <w:start w:val="1"/>
      <w:numFmt w:val="bullet"/>
      <w:lvlText w:val=""/>
      <w:lvlJc w:val="left"/>
      <w:pPr>
        <w:ind w:left="2062" w:hanging="58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A953E9"/>
    <w:multiLevelType w:val="hybridMultilevel"/>
    <w:tmpl w:val="B406B6CC"/>
    <w:lvl w:ilvl="0" w:tplc="D898B9A2">
      <w:start w:val="3"/>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53362F"/>
    <w:multiLevelType w:val="hybridMultilevel"/>
    <w:tmpl w:val="C9DEE5F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A6D2ADC"/>
    <w:multiLevelType w:val="hybridMultilevel"/>
    <w:tmpl w:val="70700748"/>
    <w:lvl w:ilvl="0" w:tplc="0CBCCA5A">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D71805"/>
    <w:multiLevelType w:val="hybridMultilevel"/>
    <w:tmpl w:val="D3029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A1A1B52"/>
    <w:multiLevelType w:val="hybridMultilevel"/>
    <w:tmpl w:val="9808E794"/>
    <w:lvl w:ilvl="0" w:tplc="E1DEA48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12"/>
  </w:num>
  <w:num w:numId="9">
    <w:abstractNumId w:val="14"/>
  </w:num>
  <w:num w:numId="10">
    <w:abstractNumId w:val="9"/>
  </w:num>
  <w:num w:numId="11">
    <w:abstractNumId w:val="11"/>
  </w:num>
  <w:num w:numId="12">
    <w:abstractNumId w:val="18"/>
  </w:num>
  <w:num w:numId="13">
    <w:abstractNumId w:val="10"/>
  </w:num>
  <w:num w:numId="14">
    <w:abstractNumId w:val="8"/>
  </w:num>
  <w:num w:numId="15">
    <w:abstractNumId w:val="19"/>
  </w:num>
  <w:num w:numId="16">
    <w:abstractNumId w:val="15"/>
  </w:num>
  <w:num w:numId="17">
    <w:abstractNumId w:val="13"/>
  </w:num>
  <w:num w:numId="18">
    <w:abstractNumId w:val="17"/>
  </w:num>
  <w:num w:numId="19">
    <w:abstractNumId w:val="6"/>
  </w:num>
  <w:num w:numId="20">
    <w:abstractNumId w:val="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C2"/>
    <w:rsid w:val="00000078"/>
    <w:rsid w:val="00002192"/>
    <w:rsid w:val="00010C79"/>
    <w:rsid w:val="000131CF"/>
    <w:rsid w:val="00022DF8"/>
    <w:rsid w:val="00024875"/>
    <w:rsid w:val="00027A73"/>
    <w:rsid w:val="00033DBE"/>
    <w:rsid w:val="000352B5"/>
    <w:rsid w:val="00035A31"/>
    <w:rsid w:val="000364E5"/>
    <w:rsid w:val="00041CAA"/>
    <w:rsid w:val="00046DF3"/>
    <w:rsid w:val="00050FE4"/>
    <w:rsid w:val="000529D3"/>
    <w:rsid w:val="00055328"/>
    <w:rsid w:val="00055884"/>
    <w:rsid w:val="00067A0C"/>
    <w:rsid w:val="000707B0"/>
    <w:rsid w:val="00071B8D"/>
    <w:rsid w:val="00075C7D"/>
    <w:rsid w:val="00091E8E"/>
    <w:rsid w:val="00092750"/>
    <w:rsid w:val="00097935"/>
    <w:rsid w:val="000A34E2"/>
    <w:rsid w:val="000A3AFB"/>
    <w:rsid w:val="000A3E4B"/>
    <w:rsid w:val="000A4BED"/>
    <w:rsid w:val="000A645B"/>
    <w:rsid w:val="000B210E"/>
    <w:rsid w:val="000B25FF"/>
    <w:rsid w:val="000B56C8"/>
    <w:rsid w:val="000C360B"/>
    <w:rsid w:val="000D1419"/>
    <w:rsid w:val="000D28EB"/>
    <w:rsid w:val="000D3F84"/>
    <w:rsid w:val="000D7CD8"/>
    <w:rsid w:val="000E3141"/>
    <w:rsid w:val="000E75BB"/>
    <w:rsid w:val="000F353F"/>
    <w:rsid w:val="000F6B31"/>
    <w:rsid w:val="000F713B"/>
    <w:rsid w:val="00101220"/>
    <w:rsid w:val="001029A9"/>
    <w:rsid w:val="001059E8"/>
    <w:rsid w:val="0010653F"/>
    <w:rsid w:val="0011083D"/>
    <w:rsid w:val="00113A75"/>
    <w:rsid w:val="001174A5"/>
    <w:rsid w:val="00117571"/>
    <w:rsid w:val="00123992"/>
    <w:rsid w:val="0013576E"/>
    <w:rsid w:val="00135DCF"/>
    <w:rsid w:val="0013658D"/>
    <w:rsid w:val="00150074"/>
    <w:rsid w:val="00151E98"/>
    <w:rsid w:val="00152ED8"/>
    <w:rsid w:val="00156409"/>
    <w:rsid w:val="001621E6"/>
    <w:rsid w:val="001670E3"/>
    <w:rsid w:val="001712DA"/>
    <w:rsid w:val="0017541F"/>
    <w:rsid w:val="001875D0"/>
    <w:rsid w:val="00192F80"/>
    <w:rsid w:val="001A7A61"/>
    <w:rsid w:val="001B045A"/>
    <w:rsid w:val="001B41F8"/>
    <w:rsid w:val="001C0E0E"/>
    <w:rsid w:val="001C1E50"/>
    <w:rsid w:val="001C4F0A"/>
    <w:rsid w:val="001C5668"/>
    <w:rsid w:val="001C5BF6"/>
    <w:rsid w:val="001D5155"/>
    <w:rsid w:val="001D5288"/>
    <w:rsid w:val="001D6395"/>
    <w:rsid w:val="001D7713"/>
    <w:rsid w:val="001E4835"/>
    <w:rsid w:val="001F0E6D"/>
    <w:rsid w:val="001F1818"/>
    <w:rsid w:val="001F3E58"/>
    <w:rsid w:val="001F4496"/>
    <w:rsid w:val="001F488D"/>
    <w:rsid w:val="001F53BE"/>
    <w:rsid w:val="001F6EF1"/>
    <w:rsid w:val="00201A65"/>
    <w:rsid w:val="0020590F"/>
    <w:rsid w:val="00206ED2"/>
    <w:rsid w:val="00212B70"/>
    <w:rsid w:val="002160D8"/>
    <w:rsid w:val="002160ED"/>
    <w:rsid w:val="00225259"/>
    <w:rsid w:val="002269BF"/>
    <w:rsid w:val="00233BA2"/>
    <w:rsid w:val="002341B6"/>
    <w:rsid w:val="0023552B"/>
    <w:rsid w:val="0024038B"/>
    <w:rsid w:val="002435BA"/>
    <w:rsid w:val="0025182D"/>
    <w:rsid w:val="00251ABF"/>
    <w:rsid w:val="0026072D"/>
    <w:rsid w:val="00266619"/>
    <w:rsid w:val="00266A17"/>
    <w:rsid w:val="002678E3"/>
    <w:rsid w:val="002727D3"/>
    <w:rsid w:val="002760E1"/>
    <w:rsid w:val="00276757"/>
    <w:rsid w:val="00276EE0"/>
    <w:rsid w:val="00276FF7"/>
    <w:rsid w:val="002828E2"/>
    <w:rsid w:val="00284736"/>
    <w:rsid w:val="00284EC8"/>
    <w:rsid w:val="00296F9D"/>
    <w:rsid w:val="002A2C87"/>
    <w:rsid w:val="002B6533"/>
    <w:rsid w:val="002C0CF1"/>
    <w:rsid w:val="002C3080"/>
    <w:rsid w:val="002D058F"/>
    <w:rsid w:val="002D5215"/>
    <w:rsid w:val="002D639E"/>
    <w:rsid w:val="002E609C"/>
    <w:rsid w:val="002F0183"/>
    <w:rsid w:val="00300E48"/>
    <w:rsid w:val="00301896"/>
    <w:rsid w:val="0031107E"/>
    <w:rsid w:val="00316A93"/>
    <w:rsid w:val="00324BFB"/>
    <w:rsid w:val="00325944"/>
    <w:rsid w:val="00334CC8"/>
    <w:rsid w:val="00335D0C"/>
    <w:rsid w:val="00336021"/>
    <w:rsid w:val="0034315F"/>
    <w:rsid w:val="0035084B"/>
    <w:rsid w:val="003523AA"/>
    <w:rsid w:val="0035427A"/>
    <w:rsid w:val="0035562B"/>
    <w:rsid w:val="00366AE1"/>
    <w:rsid w:val="00366CD2"/>
    <w:rsid w:val="0037474D"/>
    <w:rsid w:val="003779E1"/>
    <w:rsid w:val="00380ACC"/>
    <w:rsid w:val="003811F2"/>
    <w:rsid w:val="00383FC7"/>
    <w:rsid w:val="00396053"/>
    <w:rsid w:val="003A2942"/>
    <w:rsid w:val="003A6ABD"/>
    <w:rsid w:val="003B410E"/>
    <w:rsid w:val="003C3691"/>
    <w:rsid w:val="003D0B4C"/>
    <w:rsid w:val="003D5693"/>
    <w:rsid w:val="003D64E5"/>
    <w:rsid w:val="003D6BF7"/>
    <w:rsid w:val="003E0C00"/>
    <w:rsid w:val="003E40CB"/>
    <w:rsid w:val="003E6D14"/>
    <w:rsid w:val="003E7863"/>
    <w:rsid w:val="003F2A96"/>
    <w:rsid w:val="003F5F41"/>
    <w:rsid w:val="003F7CEF"/>
    <w:rsid w:val="00406A5C"/>
    <w:rsid w:val="00407222"/>
    <w:rsid w:val="00412A80"/>
    <w:rsid w:val="00413221"/>
    <w:rsid w:val="00416570"/>
    <w:rsid w:val="00417F04"/>
    <w:rsid w:val="00421288"/>
    <w:rsid w:val="00424D7D"/>
    <w:rsid w:val="004268A1"/>
    <w:rsid w:val="004301B5"/>
    <w:rsid w:val="00437EA0"/>
    <w:rsid w:val="00441597"/>
    <w:rsid w:val="00442BAB"/>
    <w:rsid w:val="00443DEE"/>
    <w:rsid w:val="004522A1"/>
    <w:rsid w:val="00464776"/>
    <w:rsid w:val="004705F2"/>
    <w:rsid w:val="00473F10"/>
    <w:rsid w:val="00474BCA"/>
    <w:rsid w:val="00474ECC"/>
    <w:rsid w:val="00481687"/>
    <w:rsid w:val="004822F7"/>
    <w:rsid w:val="00482BD5"/>
    <w:rsid w:val="00483AEA"/>
    <w:rsid w:val="00491120"/>
    <w:rsid w:val="00496337"/>
    <w:rsid w:val="0049759F"/>
    <w:rsid w:val="004A58C5"/>
    <w:rsid w:val="004B723C"/>
    <w:rsid w:val="004B7F2D"/>
    <w:rsid w:val="004C4457"/>
    <w:rsid w:val="004C449B"/>
    <w:rsid w:val="004D0E46"/>
    <w:rsid w:val="004D378C"/>
    <w:rsid w:val="004D61FA"/>
    <w:rsid w:val="004D7A44"/>
    <w:rsid w:val="004D7A5A"/>
    <w:rsid w:val="004E1BBF"/>
    <w:rsid w:val="004E1D74"/>
    <w:rsid w:val="004E398F"/>
    <w:rsid w:val="004F460E"/>
    <w:rsid w:val="00511060"/>
    <w:rsid w:val="00511F12"/>
    <w:rsid w:val="00512DC5"/>
    <w:rsid w:val="00521A12"/>
    <w:rsid w:val="00524F3B"/>
    <w:rsid w:val="00525CE5"/>
    <w:rsid w:val="00527D6E"/>
    <w:rsid w:val="0053058C"/>
    <w:rsid w:val="00531AA6"/>
    <w:rsid w:val="0053270D"/>
    <w:rsid w:val="005341C3"/>
    <w:rsid w:val="00534529"/>
    <w:rsid w:val="00534954"/>
    <w:rsid w:val="005372B4"/>
    <w:rsid w:val="00554A0A"/>
    <w:rsid w:val="00556D11"/>
    <w:rsid w:val="005612F3"/>
    <w:rsid w:val="0056325B"/>
    <w:rsid w:val="005648E6"/>
    <w:rsid w:val="0056683B"/>
    <w:rsid w:val="00567DC3"/>
    <w:rsid w:val="005700A5"/>
    <w:rsid w:val="005710FA"/>
    <w:rsid w:val="00575A8F"/>
    <w:rsid w:val="005809E6"/>
    <w:rsid w:val="005844EA"/>
    <w:rsid w:val="00587CF8"/>
    <w:rsid w:val="00593920"/>
    <w:rsid w:val="005959FB"/>
    <w:rsid w:val="005A4B52"/>
    <w:rsid w:val="005A6D3F"/>
    <w:rsid w:val="005B3438"/>
    <w:rsid w:val="005B7C13"/>
    <w:rsid w:val="005C2919"/>
    <w:rsid w:val="005C392A"/>
    <w:rsid w:val="005C4766"/>
    <w:rsid w:val="005D2FF1"/>
    <w:rsid w:val="005D4985"/>
    <w:rsid w:val="005D51ED"/>
    <w:rsid w:val="005E4ACC"/>
    <w:rsid w:val="005F5212"/>
    <w:rsid w:val="006038A9"/>
    <w:rsid w:val="00607EB5"/>
    <w:rsid w:val="00623558"/>
    <w:rsid w:val="00623ED0"/>
    <w:rsid w:val="00633C70"/>
    <w:rsid w:val="006422A5"/>
    <w:rsid w:val="006511AC"/>
    <w:rsid w:val="00651D41"/>
    <w:rsid w:val="00653AEB"/>
    <w:rsid w:val="00653F94"/>
    <w:rsid w:val="00657901"/>
    <w:rsid w:val="00665EEC"/>
    <w:rsid w:val="0067421C"/>
    <w:rsid w:val="00674606"/>
    <w:rsid w:val="006749F1"/>
    <w:rsid w:val="0067510D"/>
    <w:rsid w:val="006771FB"/>
    <w:rsid w:val="00682DE9"/>
    <w:rsid w:val="006856DB"/>
    <w:rsid w:val="00685707"/>
    <w:rsid w:val="006879E6"/>
    <w:rsid w:val="006909F0"/>
    <w:rsid w:val="00694F4D"/>
    <w:rsid w:val="00696A2B"/>
    <w:rsid w:val="006A116E"/>
    <w:rsid w:val="006A12F3"/>
    <w:rsid w:val="006A4844"/>
    <w:rsid w:val="006A742B"/>
    <w:rsid w:val="006B107B"/>
    <w:rsid w:val="006B262B"/>
    <w:rsid w:val="006B4433"/>
    <w:rsid w:val="006B4EC0"/>
    <w:rsid w:val="006C030E"/>
    <w:rsid w:val="006C669F"/>
    <w:rsid w:val="006D404E"/>
    <w:rsid w:val="006D5A6F"/>
    <w:rsid w:val="006E2472"/>
    <w:rsid w:val="006E5115"/>
    <w:rsid w:val="006E74FA"/>
    <w:rsid w:val="007036E4"/>
    <w:rsid w:val="00706934"/>
    <w:rsid w:val="0070755D"/>
    <w:rsid w:val="007145D1"/>
    <w:rsid w:val="007146BD"/>
    <w:rsid w:val="0071780E"/>
    <w:rsid w:val="00723E12"/>
    <w:rsid w:val="007243A6"/>
    <w:rsid w:val="007258BE"/>
    <w:rsid w:val="00727AB3"/>
    <w:rsid w:val="00730DF6"/>
    <w:rsid w:val="00735360"/>
    <w:rsid w:val="00737CD8"/>
    <w:rsid w:val="00746DCA"/>
    <w:rsid w:val="00750FC2"/>
    <w:rsid w:val="007531C3"/>
    <w:rsid w:val="00765055"/>
    <w:rsid w:val="0077092E"/>
    <w:rsid w:val="00771750"/>
    <w:rsid w:val="00771AB1"/>
    <w:rsid w:val="00772C84"/>
    <w:rsid w:val="00772FFB"/>
    <w:rsid w:val="007745FB"/>
    <w:rsid w:val="0077580C"/>
    <w:rsid w:val="00780C14"/>
    <w:rsid w:val="007849B1"/>
    <w:rsid w:val="00794387"/>
    <w:rsid w:val="007A03EC"/>
    <w:rsid w:val="007A1E0C"/>
    <w:rsid w:val="007A3939"/>
    <w:rsid w:val="007A6658"/>
    <w:rsid w:val="007B5F9B"/>
    <w:rsid w:val="007C7270"/>
    <w:rsid w:val="007D3021"/>
    <w:rsid w:val="007D6D16"/>
    <w:rsid w:val="007D729D"/>
    <w:rsid w:val="007E79A8"/>
    <w:rsid w:val="007F4E89"/>
    <w:rsid w:val="00801B20"/>
    <w:rsid w:val="008127DF"/>
    <w:rsid w:val="0081630F"/>
    <w:rsid w:val="00816FA1"/>
    <w:rsid w:val="0081736A"/>
    <w:rsid w:val="00827435"/>
    <w:rsid w:val="0083032E"/>
    <w:rsid w:val="008348D8"/>
    <w:rsid w:val="00847E05"/>
    <w:rsid w:val="00853CF4"/>
    <w:rsid w:val="008613BD"/>
    <w:rsid w:val="00861E18"/>
    <w:rsid w:val="008621CE"/>
    <w:rsid w:val="008648B4"/>
    <w:rsid w:val="0086577E"/>
    <w:rsid w:val="00866F3A"/>
    <w:rsid w:val="0087059A"/>
    <w:rsid w:val="008719B6"/>
    <w:rsid w:val="00872FEC"/>
    <w:rsid w:val="00873180"/>
    <w:rsid w:val="008767BF"/>
    <w:rsid w:val="00877206"/>
    <w:rsid w:val="008804DE"/>
    <w:rsid w:val="00881788"/>
    <w:rsid w:val="0088471A"/>
    <w:rsid w:val="008A10C3"/>
    <w:rsid w:val="008A25F5"/>
    <w:rsid w:val="008A7684"/>
    <w:rsid w:val="008B130C"/>
    <w:rsid w:val="008B2D49"/>
    <w:rsid w:val="008B442C"/>
    <w:rsid w:val="008B6390"/>
    <w:rsid w:val="008C48E0"/>
    <w:rsid w:val="008C758C"/>
    <w:rsid w:val="008D27DE"/>
    <w:rsid w:val="008E2C6D"/>
    <w:rsid w:val="008E3B39"/>
    <w:rsid w:val="008E793C"/>
    <w:rsid w:val="008F25E5"/>
    <w:rsid w:val="009035CC"/>
    <w:rsid w:val="00905E3C"/>
    <w:rsid w:val="00917336"/>
    <w:rsid w:val="0092017A"/>
    <w:rsid w:val="00921BAF"/>
    <w:rsid w:val="009260BF"/>
    <w:rsid w:val="00932738"/>
    <w:rsid w:val="009450B6"/>
    <w:rsid w:val="009528DE"/>
    <w:rsid w:val="009649FA"/>
    <w:rsid w:val="009749C0"/>
    <w:rsid w:val="00976BAA"/>
    <w:rsid w:val="00980990"/>
    <w:rsid w:val="00986B45"/>
    <w:rsid w:val="00990A9F"/>
    <w:rsid w:val="009939C4"/>
    <w:rsid w:val="00996BD6"/>
    <w:rsid w:val="0099764F"/>
    <w:rsid w:val="009A0A2B"/>
    <w:rsid w:val="009A6E24"/>
    <w:rsid w:val="009A7760"/>
    <w:rsid w:val="009B0B34"/>
    <w:rsid w:val="009B5DCD"/>
    <w:rsid w:val="009C0DD8"/>
    <w:rsid w:val="009C3397"/>
    <w:rsid w:val="009C66FA"/>
    <w:rsid w:val="009D08C5"/>
    <w:rsid w:val="009D4983"/>
    <w:rsid w:val="009D6787"/>
    <w:rsid w:val="009E21B7"/>
    <w:rsid w:val="009E39FF"/>
    <w:rsid w:val="009E3BA5"/>
    <w:rsid w:val="009E4EAA"/>
    <w:rsid w:val="009E6BD9"/>
    <w:rsid w:val="009F54AC"/>
    <w:rsid w:val="00A01860"/>
    <w:rsid w:val="00A033F4"/>
    <w:rsid w:val="00A10341"/>
    <w:rsid w:val="00A11CB9"/>
    <w:rsid w:val="00A1782F"/>
    <w:rsid w:val="00A227AB"/>
    <w:rsid w:val="00A25A16"/>
    <w:rsid w:val="00A352E5"/>
    <w:rsid w:val="00A445B7"/>
    <w:rsid w:val="00A47445"/>
    <w:rsid w:val="00A51724"/>
    <w:rsid w:val="00A525B8"/>
    <w:rsid w:val="00A552BF"/>
    <w:rsid w:val="00A5680A"/>
    <w:rsid w:val="00A56CAF"/>
    <w:rsid w:val="00A660F8"/>
    <w:rsid w:val="00A66964"/>
    <w:rsid w:val="00A67133"/>
    <w:rsid w:val="00A7019B"/>
    <w:rsid w:val="00A71412"/>
    <w:rsid w:val="00A71C0A"/>
    <w:rsid w:val="00A76205"/>
    <w:rsid w:val="00A76ADF"/>
    <w:rsid w:val="00A76AEC"/>
    <w:rsid w:val="00A8049C"/>
    <w:rsid w:val="00A80A0A"/>
    <w:rsid w:val="00A81BE3"/>
    <w:rsid w:val="00A86207"/>
    <w:rsid w:val="00A869E3"/>
    <w:rsid w:val="00AA00B6"/>
    <w:rsid w:val="00AA11A8"/>
    <w:rsid w:val="00AA3FA7"/>
    <w:rsid w:val="00AB26C5"/>
    <w:rsid w:val="00AB27C4"/>
    <w:rsid w:val="00AB464E"/>
    <w:rsid w:val="00AB5D3F"/>
    <w:rsid w:val="00AC020A"/>
    <w:rsid w:val="00AC3AD5"/>
    <w:rsid w:val="00AC3FA5"/>
    <w:rsid w:val="00AC5866"/>
    <w:rsid w:val="00AC6826"/>
    <w:rsid w:val="00AD0C86"/>
    <w:rsid w:val="00AD0E23"/>
    <w:rsid w:val="00AD2368"/>
    <w:rsid w:val="00AD4DEA"/>
    <w:rsid w:val="00AE1183"/>
    <w:rsid w:val="00AF6500"/>
    <w:rsid w:val="00AF689A"/>
    <w:rsid w:val="00B01075"/>
    <w:rsid w:val="00B011B5"/>
    <w:rsid w:val="00B06ACE"/>
    <w:rsid w:val="00B077B9"/>
    <w:rsid w:val="00B101E8"/>
    <w:rsid w:val="00B11768"/>
    <w:rsid w:val="00B14F93"/>
    <w:rsid w:val="00B172D4"/>
    <w:rsid w:val="00B1780C"/>
    <w:rsid w:val="00B22819"/>
    <w:rsid w:val="00B30C3B"/>
    <w:rsid w:val="00B31273"/>
    <w:rsid w:val="00B554B6"/>
    <w:rsid w:val="00B56857"/>
    <w:rsid w:val="00B60F39"/>
    <w:rsid w:val="00B64222"/>
    <w:rsid w:val="00B6574F"/>
    <w:rsid w:val="00B72FDB"/>
    <w:rsid w:val="00B73A07"/>
    <w:rsid w:val="00B73B1D"/>
    <w:rsid w:val="00B73CF9"/>
    <w:rsid w:val="00B75CE5"/>
    <w:rsid w:val="00B76215"/>
    <w:rsid w:val="00B773B0"/>
    <w:rsid w:val="00B95384"/>
    <w:rsid w:val="00BA51BC"/>
    <w:rsid w:val="00BB384C"/>
    <w:rsid w:val="00BB511B"/>
    <w:rsid w:val="00BC33BD"/>
    <w:rsid w:val="00BC408A"/>
    <w:rsid w:val="00BD2077"/>
    <w:rsid w:val="00BD7F5E"/>
    <w:rsid w:val="00BE0E7D"/>
    <w:rsid w:val="00BE4D3C"/>
    <w:rsid w:val="00BF5842"/>
    <w:rsid w:val="00BF6346"/>
    <w:rsid w:val="00BF70C2"/>
    <w:rsid w:val="00C02CD2"/>
    <w:rsid w:val="00C02F9B"/>
    <w:rsid w:val="00C12292"/>
    <w:rsid w:val="00C1690A"/>
    <w:rsid w:val="00C23B84"/>
    <w:rsid w:val="00C24E47"/>
    <w:rsid w:val="00C33380"/>
    <w:rsid w:val="00C33535"/>
    <w:rsid w:val="00C347DB"/>
    <w:rsid w:val="00C372EA"/>
    <w:rsid w:val="00C42D44"/>
    <w:rsid w:val="00C44825"/>
    <w:rsid w:val="00C477AD"/>
    <w:rsid w:val="00C5354A"/>
    <w:rsid w:val="00C543EC"/>
    <w:rsid w:val="00C57B01"/>
    <w:rsid w:val="00C61A65"/>
    <w:rsid w:val="00C62AFC"/>
    <w:rsid w:val="00C7078B"/>
    <w:rsid w:val="00C72512"/>
    <w:rsid w:val="00C759AF"/>
    <w:rsid w:val="00C775C8"/>
    <w:rsid w:val="00C8370D"/>
    <w:rsid w:val="00C84606"/>
    <w:rsid w:val="00C85027"/>
    <w:rsid w:val="00C92498"/>
    <w:rsid w:val="00C9291D"/>
    <w:rsid w:val="00C96961"/>
    <w:rsid w:val="00CA3E8E"/>
    <w:rsid w:val="00CA512A"/>
    <w:rsid w:val="00CB1129"/>
    <w:rsid w:val="00CB3BDA"/>
    <w:rsid w:val="00CD14AB"/>
    <w:rsid w:val="00CD55D2"/>
    <w:rsid w:val="00CD56E8"/>
    <w:rsid w:val="00CD57DA"/>
    <w:rsid w:val="00CE4DAA"/>
    <w:rsid w:val="00CE7E95"/>
    <w:rsid w:val="00CF14A7"/>
    <w:rsid w:val="00CF5F39"/>
    <w:rsid w:val="00CF606F"/>
    <w:rsid w:val="00D039F0"/>
    <w:rsid w:val="00D04024"/>
    <w:rsid w:val="00D043FE"/>
    <w:rsid w:val="00D058B5"/>
    <w:rsid w:val="00D070A2"/>
    <w:rsid w:val="00D131A8"/>
    <w:rsid w:val="00D17607"/>
    <w:rsid w:val="00D2295D"/>
    <w:rsid w:val="00D2489D"/>
    <w:rsid w:val="00D265AF"/>
    <w:rsid w:val="00D308BE"/>
    <w:rsid w:val="00D40D55"/>
    <w:rsid w:val="00D410B9"/>
    <w:rsid w:val="00D43C7C"/>
    <w:rsid w:val="00D500AE"/>
    <w:rsid w:val="00D51CE9"/>
    <w:rsid w:val="00D53263"/>
    <w:rsid w:val="00D56942"/>
    <w:rsid w:val="00D572E1"/>
    <w:rsid w:val="00D63367"/>
    <w:rsid w:val="00D63956"/>
    <w:rsid w:val="00D649F2"/>
    <w:rsid w:val="00D70AC8"/>
    <w:rsid w:val="00D7293A"/>
    <w:rsid w:val="00D76F8C"/>
    <w:rsid w:val="00D86220"/>
    <w:rsid w:val="00D87817"/>
    <w:rsid w:val="00DA56CE"/>
    <w:rsid w:val="00DB1817"/>
    <w:rsid w:val="00DB4578"/>
    <w:rsid w:val="00DC57C2"/>
    <w:rsid w:val="00DC667F"/>
    <w:rsid w:val="00DC7DC3"/>
    <w:rsid w:val="00DD4182"/>
    <w:rsid w:val="00DD4777"/>
    <w:rsid w:val="00DD5A42"/>
    <w:rsid w:val="00DE1A15"/>
    <w:rsid w:val="00DE26BC"/>
    <w:rsid w:val="00DE4A0D"/>
    <w:rsid w:val="00DE5950"/>
    <w:rsid w:val="00DF0F4A"/>
    <w:rsid w:val="00DF55E6"/>
    <w:rsid w:val="00E01418"/>
    <w:rsid w:val="00E01629"/>
    <w:rsid w:val="00E01975"/>
    <w:rsid w:val="00E02A45"/>
    <w:rsid w:val="00E0353B"/>
    <w:rsid w:val="00E052AC"/>
    <w:rsid w:val="00E120EA"/>
    <w:rsid w:val="00E14F39"/>
    <w:rsid w:val="00E15866"/>
    <w:rsid w:val="00E1616B"/>
    <w:rsid w:val="00E20D70"/>
    <w:rsid w:val="00E245F5"/>
    <w:rsid w:val="00E35627"/>
    <w:rsid w:val="00E530FF"/>
    <w:rsid w:val="00E546CF"/>
    <w:rsid w:val="00E612F5"/>
    <w:rsid w:val="00E63D79"/>
    <w:rsid w:val="00E65AD5"/>
    <w:rsid w:val="00E74743"/>
    <w:rsid w:val="00E75D29"/>
    <w:rsid w:val="00E76B30"/>
    <w:rsid w:val="00E822C7"/>
    <w:rsid w:val="00E9725B"/>
    <w:rsid w:val="00EA632E"/>
    <w:rsid w:val="00EB44AD"/>
    <w:rsid w:val="00EB6B9B"/>
    <w:rsid w:val="00EB6F60"/>
    <w:rsid w:val="00EC6A32"/>
    <w:rsid w:val="00ED40D4"/>
    <w:rsid w:val="00ED6B03"/>
    <w:rsid w:val="00ED7865"/>
    <w:rsid w:val="00EE1744"/>
    <w:rsid w:val="00EE41A7"/>
    <w:rsid w:val="00EE4319"/>
    <w:rsid w:val="00EE4661"/>
    <w:rsid w:val="00EF2403"/>
    <w:rsid w:val="00EF4ED7"/>
    <w:rsid w:val="00EF4F36"/>
    <w:rsid w:val="00EF6C45"/>
    <w:rsid w:val="00F0159E"/>
    <w:rsid w:val="00F02340"/>
    <w:rsid w:val="00F05259"/>
    <w:rsid w:val="00F06B13"/>
    <w:rsid w:val="00F07199"/>
    <w:rsid w:val="00F10621"/>
    <w:rsid w:val="00F269FF"/>
    <w:rsid w:val="00F27A9B"/>
    <w:rsid w:val="00F4042F"/>
    <w:rsid w:val="00F44D75"/>
    <w:rsid w:val="00F46AF6"/>
    <w:rsid w:val="00F54F5D"/>
    <w:rsid w:val="00F55AAB"/>
    <w:rsid w:val="00F572B8"/>
    <w:rsid w:val="00F60303"/>
    <w:rsid w:val="00F60ACB"/>
    <w:rsid w:val="00F65A99"/>
    <w:rsid w:val="00F67FE0"/>
    <w:rsid w:val="00F7211E"/>
    <w:rsid w:val="00F77071"/>
    <w:rsid w:val="00F7760D"/>
    <w:rsid w:val="00F81FF5"/>
    <w:rsid w:val="00F850F6"/>
    <w:rsid w:val="00F8672F"/>
    <w:rsid w:val="00F87631"/>
    <w:rsid w:val="00F90197"/>
    <w:rsid w:val="00F91973"/>
    <w:rsid w:val="00F94832"/>
    <w:rsid w:val="00F95A52"/>
    <w:rsid w:val="00FA125A"/>
    <w:rsid w:val="00FA351D"/>
    <w:rsid w:val="00FA4186"/>
    <w:rsid w:val="00FA520F"/>
    <w:rsid w:val="00FB0254"/>
    <w:rsid w:val="00FB1C04"/>
    <w:rsid w:val="00FC3C1B"/>
    <w:rsid w:val="00FC5B90"/>
    <w:rsid w:val="00FC665D"/>
    <w:rsid w:val="00FC737C"/>
    <w:rsid w:val="00FC7506"/>
    <w:rsid w:val="00FD3A94"/>
    <w:rsid w:val="00FE1786"/>
    <w:rsid w:val="00FE3939"/>
    <w:rsid w:val="00FF799D"/>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FC2"/>
    <w:rPr>
      <w:rFonts w:ascii="Arial" w:hAnsi="Arial"/>
      <w:sz w:val="24"/>
      <w:szCs w:val="24"/>
    </w:rPr>
  </w:style>
  <w:style w:type="paragraph" w:styleId="Heading1">
    <w:name w:val="heading 1"/>
    <w:basedOn w:val="Normal"/>
    <w:next w:val="Normal"/>
    <w:qFormat/>
    <w:rsid w:val="001A7A61"/>
    <w:pPr>
      <w:keepNext/>
      <w:pageBreakBefore/>
      <w:numPr>
        <w:numId w:val="8"/>
      </w:numPr>
      <w:pBdr>
        <w:bottom w:val="single" w:sz="12" w:space="1" w:color="auto"/>
      </w:pBdr>
      <w:spacing w:after="120"/>
      <w:outlineLvl w:val="0"/>
    </w:pPr>
    <w:rPr>
      <w:b/>
      <w:i/>
      <w:caps/>
      <w:kern w:val="28"/>
    </w:rPr>
  </w:style>
  <w:style w:type="paragraph" w:styleId="Heading2">
    <w:name w:val="heading 2"/>
    <w:basedOn w:val="Normal"/>
    <w:next w:val="Normal"/>
    <w:qFormat/>
    <w:rsid w:val="001A7A61"/>
    <w:pPr>
      <w:keepNext/>
      <w:numPr>
        <w:ilvl w:val="1"/>
        <w:numId w:val="8"/>
      </w:numPr>
      <w:spacing w:before="280"/>
      <w:outlineLvl w:val="1"/>
    </w:pPr>
    <w:rPr>
      <w:b/>
      <w:caps/>
      <w:kern w:val="28"/>
    </w:rPr>
  </w:style>
  <w:style w:type="paragraph" w:styleId="Heading3">
    <w:name w:val="heading 3"/>
    <w:basedOn w:val="Normal"/>
    <w:next w:val="Normal"/>
    <w:qFormat/>
    <w:rsid w:val="001A7A61"/>
    <w:pPr>
      <w:keepNext/>
      <w:numPr>
        <w:ilvl w:val="2"/>
        <w:numId w:val="8"/>
      </w:numPr>
      <w:spacing w:before="260"/>
      <w:outlineLvl w:val="2"/>
    </w:pPr>
    <w:rPr>
      <w:b/>
      <w:kern w:val="28"/>
    </w:rPr>
  </w:style>
  <w:style w:type="paragraph" w:styleId="Heading4">
    <w:name w:val="heading 4"/>
    <w:basedOn w:val="Normal"/>
    <w:next w:val="Normal"/>
    <w:qFormat/>
    <w:rsid w:val="001A7A61"/>
    <w:pPr>
      <w:keepNext/>
      <w:numPr>
        <w:ilvl w:val="3"/>
        <w:numId w:val="8"/>
      </w:numPr>
      <w:outlineLvl w:val="3"/>
    </w:pPr>
    <w:rPr>
      <w:i/>
      <w:caps/>
      <w:kern w:val="28"/>
    </w:rPr>
  </w:style>
  <w:style w:type="paragraph" w:styleId="Heading5">
    <w:name w:val="heading 5"/>
    <w:basedOn w:val="Normal"/>
    <w:next w:val="Normal"/>
    <w:qFormat/>
    <w:rsid w:val="001A7A61"/>
    <w:pPr>
      <w:keepNext/>
      <w:numPr>
        <w:ilvl w:val="4"/>
        <w:numId w:val="8"/>
      </w:numPr>
      <w:outlineLvl w:val="4"/>
    </w:pPr>
    <w:rPr>
      <w:i/>
      <w:kern w:val="28"/>
    </w:rPr>
  </w:style>
  <w:style w:type="paragraph" w:styleId="Heading6">
    <w:name w:val="heading 6"/>
    <w:basedOn w:val="Normal"/>
    <w:next w:val="Normal"/>
    <w:qFormat/>
    <w:rsid w:val="001A7A61"/>
    <w:pPr>
      <w:keepNext/>
      <w:pageBreakBefore/>
      <w:numPr>
        <w:ilvl w:val="5"/>
        <w:numId w:val="8"/>
      </w:numPr>
      <w:pBdr>
        <w:bottom w:val="single" w:sz="12" w:space="1" w:color="auto"/>
      </w:pBdr>
      <w:spacing w:after="120"/>
      <w:outlineLvl w:val="5"/>
    </w:pPr>
    <w:rPr>
      <w:b/>
      <w:i/>
      <w:caps/>
      <w:kern w:val="28"/>
    </w:rPr>
  </w:style>
  <w:style w:type="paragraph" w:styleId="Heading7">
    <w:name w:val="heading 7"/>
    <w:basedOn w:val="Normal"/>
    <w:next w:val="Normal"/>
    <w:qFormat/>
    <w:rsid w:val="001A7A61"/>
    <w:pPr>
      <w:keepNext/>
      <w:numPr>
        <w:ilvl w:val="6"/>
        <w:numId w:val="8"/>
      </w:numPr>
      <w:spacing w:before="280"/>
      <w:outlineLvl w:val="6"/>
    </w:pPr>
    <w:rPr>
      <w:b/>
      <w:caps/>
      <w:kern w:val="28"/>
    </w:rPr>
  </w:style>
  <w:style w:type="paragraph" w:styleId="Heading8">
    <w:name w:val="heading 8"/>
    <w:basedOn w:val="Normal"/>
    <w:next w:val="Normal"/>
    <w:qFormat/>
    <w:rsid w:val="001A7A61"/>
    <w:pPr>
      <w:keepNext/>
      <w:numPr>
        <w:ilvl w:val="7"/>
        <w:numId w:val="8"/>
      </w:numPr>
      <w:spacing w:before="260"/>
      <w:outlineLvl w:val="7"/>
    </w:pPr>
    <w:rPr>
      <w:b/>
      <w:kern w:val="28"/>
    </w:rPr>
  </w:style>
  <w:style w:type="paragraph" w:styleId="Heading9">
    <w:name w:val="heading 9"/>
    <w:basedOn w:val="Normal"/>
    <w:next w:val="Normal"/>
    <w:qFormat/>
    <w:rsid w:val="001A7A61"/>
    <w:pPr>
      <w:keepNext/>
      <w:numPr>
        <w:ilvl w:val="8"/>
        <w:numId w:val="8"/>
      </w:numPr>
      <w:outlineLvl w:val="8"/>
    </w:pPr>
    <w:rPr>
      <w:i/>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A61"/>
    <w:rPr>
      <w:sz w:val="16"/>
    </w:rPr>
  </w:style>
  <w:style w:type="paragraph" w:styleId="ListBullet">
    <w:name w:val="List Bullet"/>
    <w:basedOn w:val="Normal"/>
    <w:rsid w:val="001A7A61"/>
    <w:pPr>
      <w:numPr>
        <w:numId w:val="1"/>
      </w:numPr>
      <w:spacing w:before="160"/>
    </w:pPr>
  </w:style>
  <w:style w:type="paragraph" w:styleId="ListBullet2">
    <w:name w:val="List Bullet 2"/>
    <w:basedOn w:val="ListBullet"/>
    <w:rsid w:val="001A7A61"/>
    <w:pPr>
      <w:numPr>
        <w:numId w:val="2"/>
      </w:numPr>
      <w:tabs>
        <w:tab w:val="clear" w:pos="1211"/>
        <w:tab w:val="left" w:pos="1134"/>
      </w:tabs>
    </w:pPr>
  </w:style>
  <w:style w:type="paragraph" w:styleId="ListBullet3">
    <w:name w:val="List Bullet 3"/>
    <w:basedOn w:val="ListBullet2"/>
    <w:rsid w:val="001A7A61"/>
    <w:pPr>
      <w:numPr>
        <w:numId w:val="3"/>
      </w:numPr>
      <w:tabs>
        <w:tab w:val="clear" w:pos="1134"/>
        <w:tab w:val="clear" w:pos="1494"/>
        <w:tab w:val="left" w:pos="1418"/>
      </w:tabs>
    </w:pPr>
  </w:style>
  <w:style w:type="paragraph" w:styleId="ListBullet4">
    <w:name w:val="List Bullet 4"/>
    <w:basedOn w:val="ListBullet3"/>
    <w:rsid w:val="001A7A61"/>
    <w:pPr>
      <w:numPr>
        <w:numId w:val="4"/>
      </w:numPr>
      <w:tabs>
        <w:tab w:val="clear" w:pos="1418"/>
        <w:tab w:val="clear" w:pos="1778"/>
        <w:tab w:val="left" w:pos="1701"/>
      </w:tabs>
    </w:pPr>
  </w:style>
  <w:style w:type="paragraph" w:styleId="ListNumber">
    <w:name w:val="List Number"/>
    <w:basedOn w:val="ListBullet"/>
    <w:rsid w:val="001A7A61"/>
    <w:pPr>
      <w:numPr>
        <w:numId w:val="5"/>
      </w:numPr>
      <w:tabs>
        <w:tab w:val="clear" w:pos="927"/>
        <w:tab w:val="left" w:pos="851"/>
      </w:tabs>
    </w:pPr>
  </w:style>
  <w:style w:type="paragraph" w:styleId="ListNumber2">
    <w:name w:val="List Number 2"/>
    <w:basedOn w:val="ListBullet2"/>
    <w:rsid w:val="001A7A61"/>
    <w:pPr>
      <w:numPr>
        <w:numId w:val="6"/>
      </w:numPr>
      <w:tabs>
        <w:tab w:val="clear" w:pos="1211"/>
      </w:tabs>
    </w:pPr>
  </w:style>
  <w:style w:type="paragraph" w:styleId="ListNumber3">
    <w:name w:val="List Number 3"/>
    <w:basedOn w:val="ListBullet3"/>
    <w:rsid w:val="001A7A61"/>
    <w:pPr>
      <w:numPr>
        <w:numId w:val="7"/>
      </w:numPr>
      <w:tabs>
        <w:tab w:val="clear" w:pos="1854"/>
      </w:tabs>
    </w:pPr>
  </w:style>
  <w:style w:type="paragraph" w:styleId="Header">
    <w:name w:val="header"/>
    <w:basedOn w:val="Normal"/>
    <w:link w:val="HeaderChar"/>
    <w:rsid w:val="001A7A61"/>
    <w:pPr>
      <w:spacing w:after="240"/>
    </w:pPr>
    <w:rPr>
      <w:sz w:val="16"/>
    </w:rPr>
  </w:style>
  <w:style w:type="paragraph" w:styleId="PlainText">
    <w:name w:val="Plain Text"/>
    <w:basedOn w:val="Normal"/>
    <w:link w:val="PlainTextChar"/>
    <w:uiPriority w:val="99"/>
    <w:rsid w:val="001A7A61"/>
  </w:style>
  <w:style w:type="paragraph" w:customStyle="1" w:styleId="Default">
    <w:name w:val="Default"/>
    <w:rsid w:val="00750FC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750FC2"/>
    <w:rPr>
      <w:rFonts w:ascii="Arial" w:hAnsi="Arial"/>
      <w:sz w:val="16"/>
      <w:lang w:val="en-GB" w:eastAsia="en-US" w:bidi="ar-SA"/>
    </w:rPr>
  </w:style>
  <w:style w:type="character" w:customStyle="1" w:styleId="FooterChar">
    <w:name w:val="Footer Char"/>
    <w:basedOn w:val="DefaultParagraphFont"/>
    <w:link w:val="Footer"/>
    <w:uiPriority w:val="99"/>
    <w:rsid w:val="00750FC2"/>
    <w:rPr>
      <w:rFonts w:ascii="Arial" w:hAnsi="Arial"/>
      <w:sz w:val="16"/>
      <w:lang w:val="en-GB" w:eastAsia="en-US" w:bidi="ar-SA"/>
    </w:rPr>
  </w:style>
  <w:style w:type="table" w:styleId="TableGrid">
    <w:name w:val="Table Grid"/>
    <w:basedOn w:val="TableNormal"/>
    <w:rsid w:val="00750FC2"/>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AD0C86"/>
    <w:rPr>
      <w:rFonts w:ascii="Tahoma" w:hAnsi="Tahoma"/>
      <w:sz w:val="16"/>
      <w:szCs w:val="16"/>
    </w:rPr>
  </w:style>
  <w:style w:type="paragraph" w:styleId="ListParagraph">
    <w:name w:val="List Paragraph"/>
    <w:basedOn w:val="Normal"/>
    <w:uiPriority w:val="34"/>
    <w:qFormat/>
    <w:rsid w:val="009749C0"/>
    <w:pPr>
      <w:spacing w:after="200" w:line="276" w:lineRule="auto"/>
      <w:ind w:left="720"/>
    </w:pPr>
    <w:rPr>
      <w:rFonts w:ascii="Calibri" w:eastAsia="Calibri" w:hAnsi="Calibri"/>
      <w:sz w:val="22"/>
      <w:szCs w:val="22"/>
    </w:rPr>
  </w:style>
  <w:style w:type="character" w:styleId="Hyperlink">
    <w:name w:val="Hyperlink"/>
    <w:basedOn w:val="DefaultParagraphFont"/>
    <w:uiPriority w:val="99"/>
    <w:unhideWhenUsed/>
    <w:rsid w:val="002E609C"/>
    <w:rPr>
      <w:color w:val="0000FF"/>
      <w:u w:val="single"/>
    </w:rPr>
  </w:style>
  <w:style w:type="character" w:customStyle="1" w:styleId="PlainTextChar">
    <w:name w:val="Plain Text Char"/>
    <w:basedOn w:val="DefaultParagraphFont"/>
    <w:link w:val="PlainText"/>
    <w:uiPriority w:val="99"/>
    <w:rsid w:val="002E609C"/>
    <w:rPr>
      <w:rFonts w:ascii="Arial" w:hAnsi="Arial"/>
      <w:sz w:val="24"/>
      <w:szCs w:val="24"/>
    </w:rPr>
  </w:style>
  <w:style w:type="character" w:styleId="FollowedHyperlink">
    <w:name w:val="FollowedHyperlink"/>
    <w:basedOn w:val="DefaultParagraphFont"/>
    <w:rsid w:val="00DF55E6"/>
    <w:rPr>
      <w:color w:val="800080" w:themeColor="followedHyperlink"/>
      <w:u w:val="single"/>
    </w:rPr>
  </w:style>
  <w:style w:type="paragraph" w:customStyle="1" w:styleId="yiv1196065108msonormal">
    <w:name w:val="yiv1196065108msonormal"/>
    <w:basedOn w:val="Normal"/>
    <w:rsid w:val="00593920"/>
    <w:pPr>
      <w:spacing w:before="100" w:beforeAutospacing="1" w:after="100" w:afterAutospacing="1"/>
    </w:pPr>
    <w:rPr>
      <w:rFonts w:ascii="Times New Roman" w:hAnsi="Times New Roman"/>
    </w:rPr>
  </w:style>
  <w:style w:type="paragraph" w:customStyle="1" w:styleId="yiv101732166msonormal">
    <w:name w:val="yiv101732166msonormal"/>
    <w:basedOn w:val="Normal"/>
    <w:rsid w:val="00F02340"/>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02340"/>
  </w:style>
  <w:style w:type="paragraph" w:styleId="Revision">
    <w:name w:val="Revision"/>
    <w:hidden/>
    <w:uiPriority w:val="99"/>
    <w:semiHidden/>
    <w:rsid w:val="00B60F39"/>
    <w:rPr>
      <w:rFonts w:ascii="Arial" w:hAnsi="Arial"/>
      <w:sz w:val="24"/>
      <w:szCs w:val="24"/>
    </w:rPr>
  </w:style>
  <w:style w:type="paragraph" w:styleId="NormalWeb">
    <w:name w:val="Normal (Web)"/>
    <w:basedOn w:val="Normal"/>
    <w:uiPriority w:val="99"/>
    <w:unhideWhenUsed/>
    <w:rsid w:val="001875D0"/>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FC2"/>
    <w:rPr>
      <w:rFonts w:ascii="Arial" w:hAnsi="Arial"/>
      <w:sz w:val="24"/>
      <w:szCs w:val="24"/>
    </w:rPr>
  </w:style>
  <w:style w:type="paragraph" w:styleId="Heading1">
    <w:name w:val="heading 1"/>
    <w:basedOn w:val="Normal"/>
    <w:next w:val="Normal"/>
    <w:qFormat/>
    <w:rsid w:val="001A7A61"/>
    <w:pPr>
      <w:keepNext/>
      <w:pageBreakBefore/>
      <w:numPr>
        <w:numId w:val="8"/>
      </w:numPr>
      <w:pBdr>
        <w:bottom w:val="single" w:sz="12" w:space="1" w:color="auto"/>
      </w:pBdr>
      <w:spacing w:after="120"/>
      <w:outlineLvl w:val="0"/>
    </w:pPr>
    <w:rPr>
      <w:b/>
      <w:i/>
      <w:caps/>
      <w:kern w:val="28"/>
    </w:rPr>
  </w:style>
  <w:style w:type="paragraph" w:styleId="Heading2">
    <w:name w:val="heading 2"/>
    <w:basedOn w:val="Normal"/>
    <w:next w:val="Normal"/>
    <w:qFormat/>
    <w:rsid w:val="001A7A61"/>
    <w:pPr>
      <w:keepNext/>
      <w:numPr>
        <w:ilvl w:val="1"/>
        <w:numId w:val="8"/>
      </w:numPr>
      <w:spacing w:before="280"/>
      <w:outlineLvl w:val="1"/>
    </w:pPr>
    <w:rPr>
      <w:b/>
      <w:caps/>
      <w:kern w:val="28"/>
    </w:rPr>
  </w:style>
  <w:style w:type="paragraph" w:styleId="Heading3">
    <w:name w:val="heading 3"/>
    <w:basedOn w:val="Normal"/>
    <w:next w:val="Normal"/>
    <w:qFormat/>
    <w:rsid w:val="001A7A61"/>
    <w:pPr>
      <w:keepNext/>
      <w:numPr>
        <w:ilvl w:val="2"/>
        <w:numId w:val="8"/>
      </w:numPr>
      <w:spacing w:before="260"/>
      <w:outlineLvl w:val="2"/>
    </w:pPr>
    <w:rPr>
      <w:b/>
      <w:kern w:val="28"/>
    </w:rPr>
  </w:style>
  <w:style w:type="paragraph" w:styleId="Heading4">
    <w:name w:val="heading 4"/>
    <w:basedOn w:val="Normal"/>
    <w:next w:val="Normal"/>
    <w:qFormat/>
    <w:rsid w:val="001A7A61"/>
    <w:pPr>
      <w:keepNext/>
      <w:numPr>
        <w:ilvl w:val="3"/>
        <w:numId w:val="8"/>
      </w:numPr>
      <w:outlineLvl w:val="3"/>
    </w:pPr>
    <w:rPr>
      <w:i/>
      <w:caps/>
      <w:kern w:val="28"/>
    </w:rPr>
  </w:style>
  <w:style w:type="paragraph" w:styleId="Heading5">
    <w:name w:val="heading 5"/>
    <w:basedOn w:val="Normal"/>
    <w:next w:val="Normal"/>
    <w:qFormat/>
    <w:rsid w:val="001A7A61"/>
    <w:pPr>
      <w:keepNext/>
      <w:numPr>
        <w:ilvl w:val="4"/>
        <w:numId w:val="8"/>
      </w:numPr>
      <w:outlineLvl w:val="4"/>
    </w:pPr>
    <w:rPr>
      <w:i/>
      <w:kern w:val="28"/>
    </w:rPr>
  </w:style>
  <w:style w:type="paragraph" w:styleId="Heading6">
    <w:name w:val="heading 6"/>
    <w:basedOn w:val="Normal"/>
    <w:next w:val="Normal"/>
    <w:qFormat/>
    <w:rsid w:val="001A7A61"/>
    <w:pPr>
      <w:keepNext/>
      <w:pageBreakBefore/>
      <w:numPr>
        <w:ilvl w:val="5"/>
        <w:numId w:val="8"/>
      </w:numPr>
      <w:pBdr>
        <w:bottom w:val="single" w:sz="12" w:space="1" w:color="auto"/>
      </w:pBdr>
      <w:spacing w:after="120"/>
      <w:outlineLvl w:val="5"/>
    </w:pPr>
    <w:rPr>
      <w:b/>
      <w:i/>
      <w:caps/>
      <w:kern w:val="28"/>
    </w:rPr>
  </w:style>
  <w:style w:type="paragraph" w:styleId="Heading7">
    <w:name w:val="heading 7"/>
    <w:basedOn w:val="Normal"/>
    <w:next w:val="Normal"/>
    <w:qFormat/>
    <w:rsid w:val="001A7A61"/>
    <w:pPr>
      <w:keepNext/>
      <w:numPr>
        <w:ilvl w:val="6"/>
        <w:numId w:val="8"/>
      </w:numPr>
      <w:spacing w:before="280"/>
      <w:outlineLvl w:val="6"/>
    </w:pPr>
    <w:rPr>
      <w:b/>
      <w:caps/>
      <w:kern w:val="28"/>
    </w:rPr>
  </w:style>
  <w:style w:type="paragraph" w:styleId="Heading8">
    <w:name w:val="heading 8"/>
    <w:basedOn w:val="Normal"/>
    <w:next w:val="Normal"/>
    <w:qFormat/>
    <w:rsid w:val="001A7A61"/>
    <w:pPr>
      <w:keepNext/>
      <w:numPr>
        <w:ilvl w:val="7"/>
        <w:numId w:val="8"/>
      </w:numPr>
      <w:spacing w:before="260"/>
      <w:outlineLvl w:val="7"/>
    </w:pPr>
    <w:rPr>
      <w:b/>
      <w:kern w:val="28"/>
    </w:rPr>
  </w:style>
  <w:style w:type="paragraph" w:styleId="Heading9">
    <w:name w:val="heading 9"/>
    <w:basedOn w:val="Normal"/>
    <w:next w:val="Normal"/>
    <w:qFormat/>
    <w:rsid w:val="001A7A61"/>
    <w:pPr>
      <w:keepNext/>
      <w:numPr>
        <w:ilvl w:val="8"/>
        <w:numId w:val="8"/>
      </w:numPr>
      <w:outlineLvl w:val="8"/>
    </w:pPr>
    <w:rPr>
      <w:i/>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A61"/>
    <w:rPr>
      <w:sz w:val="16"/>
    </w:rPr>
  </w:style>
  <w:style w:type="paragraph" w:styleId="ListBullet">
    <w:name w:val="List Bullet"/>
    <w:basedOn w:val="Normal"/>
    <w:rsid w:val="001A7A61"/>
    <w:pPr>
      <w:numPr>
        <w:numId w:val="1"/>
      </w:numPr>
      <w:spacing w:before="160"/>
    </w:pPr>
  </w:style>
  <w:style w:type="paragraph" w:styleId="ListBullet2">
    <w:name w:val="List Bullet 2"/>
    <w:basedOn w:val="ListBullet"/>
    <w:rsid w:val="001A7A61"/>
    <w:pPr>
      <w:numPr>
        <w:numId w:val="2"/>
      </w:numPr>
      <w:tabs>
        <w:tab w:val="clear" w:pos="1211"/>
        <w:tab w:val="left" w:pos="1134"/>
      </w:tabs>
    </w:pPr>
  </w:style>
  <w:style w:type="paragraph" w:styleId="ListBullet3">
    <w:name w:val="List Bullet 3"/>
    <w:basedOn w:val="ListBullet2"/>
    <w:rsid w:val="001A7A61"/>
    <w:pPr>
      <w:numPr>
        <w:numId w:val="3"/>
      </w:numPr>
      <w:tabs>
        <w:tab w:val="clear" w:pos="1134"/>
        <w:tab w:val="clear" w:pos="1494"/>
        <w:tab w:val="left" w:pos="1418"/>
      </w:tabs>
    </w:pPr>
  </w:style>
  <w:style w:type="paragraph" w:styleId="ListBullet4">
    <w:name w:val="List Bullet 4"/>
    <w:basedOn w:val="ListBullet3"/>
    <w:rsid w:val="001A7A61"/>
    <w:pPr>
      <w:numPr>
        <w:numId w:val="4"/>
      </w:numPr>
      <w:tabs>
        <w:tab w:val="clear" w:pos="1418"/>
        <w:tab w:val="clear" w:pos="1778"/>
        <w:tab w:val="left" w:pos="1701"/>
      </w:tabs>
    </w:pPr>
  </w:style>
  <w:style w:type="paragraph" w:styleId="ListNumber">
    <w:name w:val="List Number"/>
    <w:basedOn w:val="ListBullet"/>
    <w:rsid w:val="001A7A61"/>
    <w:pPr>
      <w:numPr>
        <w:numId w:val="5"/>
      </w:numPr>
      <w:tabs>
        <w:tab w:val="clear" w:pos="927"/>
        <w:tab w:val="left" w:pos="851"/>
      </w:tabs>
    </w:pPr>
  </w:style>
  <w:style w:type="paragraph" w:styleId="ListNumber2">
    <w:name w:val="List Number 2"/>
    <w:basedOn w:val="ListBullet2"/>
    <w:rsid w:val="001A7A61"/>
    <w:pPr>
      <w:numPr>
        <w:numId w:val="6"/>
      </w:numPr>
      <w:tabs>
        <w:tab w:val="clear" w:pos="1211"/>
      </w:tabs>
    </w:pPr>
  </w:style>
  <w:style w:type="paragraph" w:styleId="ListNumber3">
    <w:name w:val="List Number 3"/>
    <w:basedOn w:val="ListBullet3"/>
    <w:rsid w:val="001A7A61"/>
    <w:pPr>
      <w:numPr>
        <w:numId w:val="7"/>
      </w:numPr>
      <w:tabs>
        <w:tab w:val="clear" w:pos="1854"/>
      </w:tabs>
    </w:pPr>
  </w:style>
  <w:style w:type="paragraph" w:styleId="Header">
    <w:name w:val="header"/>
    <w:basedOn w:val="Normal"/>
    <w:link w:val="HeaderChar"/>
    <w:rsid w:val="001A7A61"/>
    <w:pPr>
      <w:spacing w:after="240"/>
    </w:pPr>
    <w:rPr>
      <w:sz w:val="16"/>
    </w:rPr>
  </w:style>
  <w:style w:type="paragraph" w:styleId="PlainText">
    <w:name w:val="Plain Text"/>
    <w:basedOn w:val="Normal"/>
    <w:link w:val="PlainTextChar"/>
    <w:uiPriority w:val="99"/>
    <w:rsid w:val="001A7A61"/>
  </w:style>
  <w:style w:type="paragraph" w:customStyle="1" w:styleId="Default">
    <w:name w:val="Default"/>
    <w:rsid w:val="00750FC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750FC2"/>
    <w:rPr>
      <w:rFonts w:ascii="Arial" w:hAnsi="Arial"/>
      <w:sz w:val="16"/>
      <w:lang w:val="en-GB" w:eastAsia="en-US" w:bidi="ar-SA"/>
    </w:rPr>
  </w:style>
  <w:style w:type="character" w:customStyle="1" w:styleId="FooterChar">
    <w:name w:val="Footer Char"/>
    <w:basedOn w:val="DefaultParagraphFont"/>
    <w:link w:val="Footer"/>
    <w:uiPriority w:val="99"/>
    <w:rsid w:val="00750FC2"/>
    <w:rPr>
      <w:rFonts w:ascii="Arial" w:hAnsi="Arial"/>
      <w:sz w:val="16"/>
      <w:lang w:val="en-GB" w:eastAsia="en-US" w:bidi="ar-SA"/>
    </w:rPr>
  </w:style>
  <w:style w:type="table" w:styleId="TableGrid">
    <w:name w:val="Table Grid"/>
    <w:basedOn w:val="TableNormal"/>
    <w:rsid w:val="00750FC2"/>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AD0C86"/>
    <w:rPr>
      <w:rFonts w:ascii="Tahoma" w:hAnsi="Tahoma"/>
      <w:sz w:val="16"/>
      <w:szCs w:val="16"/>
    </w:rPr>
  </w:style>
  <w:style w:type="paragraph" w:styleId="ListParagraph">
    <w:name w:val="List Paragraph"/>
    <w:basedOn w:val="Normal"/>
    <w:uiPriority w:val="34"/>
    <w:qFormat/>
    <w:rsid w:val="009749C0"/>
    <w:pPr>
      <w:spacing w:after="200" w:line="276" w:lineRule="auto"/>
      <w:ind w:left="720"/>
    </w:pPr>
    <w:rPr>
      <w:rFonts w:ascii="Calibri" w:eastAsia="Calibri" w:hAnsi="Calibri"/>
      <w:sz w:val="22"/>
      <w:szCs w:val="22"/>
    </w:rPr>
  </w:style>
  <w:style w:type="character" w:styleId="Hyperlink">
    <w:name w:val="Hyperlink"/>
    <w:basedOn w:val="DefaultParagraphFont"/>
    <w:uiPriority w:val="99"/>
    <w:unhideWhenUsed/>
    <w:rsid w:val="002E609C"/>
    <w:rPr>
      <w:color w:val="0000FF"/>
      <w:u w:val="single"/>
    </w:rPr>
  </w:style>
  <w:style w:type="character" w:customStyle="1" w:styleId="PlainTextChar">
    <w:name w:val="Plain Text Char"/>
    <w:basedOn w:val="DefaultParagraphFont"/>
    <w:link w:val="PlainText"/>
    <w:uiPriority w:val="99"/>
    <w:rsid w:val="002E609C"/>
    <w:rPr>
      <w:rFonts w:ascii="Arial" w:hAnsi="Arial"/>
      <w:sz w:val="24"/>
      <w:szCs w:val="24"/>
    </w:rPr>
  </w:style>
  <w:style w:type="character" w:styleId="FollowedHyperlink">
    <w:name w:val="FollowedHyperlink"/>
    <w:basedOn w:val="DefaultParagraphFont"/>
    <w:rsid w:val="00DF55E6"/>
    <w:rPr>
      <w:color w:val="800080" w:themeColor="followedHyperlink"/>
      <w:u w:val="single"/>
    </w:rPr>
  </w:style>
  <w:style w:type="paragraph" w:customStyle="1" w:styleId="yiv1196065108msonormal">
    <w:name w:val="yiv1196065108msonormal"/>
    <w:basedOn w:val="Normal"/>
    <w:rsid w:val="00593920"/>
    <w:pPr>
      <w:spacing w:before="100" w:beforeAutospacing="1" w:after="100" w:afterAutospacing="1"/>
    </w:pPr>
    <w:rPr>
      <w:rFonts w:ascii="Times New Roman" w:hAnsi="Times New Roman"/>
    </w:rPr>
  </w:style>
  <w:style w:type="paragraph" w:customStyle="1" w:styleId="yiv101732166msonormal">
    <w:name w:val="yiv101732166msonormal"/>
    <w:basedOn w:val="Normal"/>
    <w:rsid w:val="00F02340"/>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02340"/>
  </w:style>
  <w:style w:type="paragraph" w:styleId="Revision">
    <w:name w:val="Revision"/>
    <w:hidden/>
    <w:uiPriority w:val="99"/>
    <w:semiHidden/>
    <w:rsid w:val="00B60F39"/>
    <w:rPr>
      <w:rFonts w:ascii="Arial" w:hAnsi="Arial"/>
      <w:sz w:val="24"/>
      <w:szCs w:val="24"/>
    </w:rPr>
  </w:style>
  <w:style w:type="paragraph" w:styleId="NormalWeb">
    <w:name w:val="Normal (Web)"/>
    <w:basedOn w:val="Normal"/>
    <w:uiPriority w:val="99"/>
    <w:unhideWhenUsed/>
    <w:rsid w:val="001875D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581">
      <w:bodyDiv w:val="1"/>
      <w:marLeft w:val="0"/>
      <w:marRight w:val="0"/>
      <w:marTop w:val="0"/>
      <w:marBottom w:val="0"/>
      <w:divBdr>
        <w:top w:val="none" w:sz="0" w:space="0" w:color="auto"/>
        <w:left w:val="none" w:sz="0" w:space="0" w:color="auto"/>
        <w:bottom w:val="none" w:sz="0" w:space="0" w:color="auto"/>
        <w:right w:val="none" w:sz="0" w:space="0" w:color="auto"/>
      </w:divBdr>
    </w:div>
    <w:div w:id="7829293">
      <w:bodyDiv w:val="1"/>
      <w:marLeft w:val="0"/>
      <w:marRight w:val="0"/>
      <w:marTop w:val="0"/>
      <w:marBottom w:val="0"/>
      <w:divBdr>
        <w:top w:val="none" w:sz="0" w:space="0" w:color="auto"/>
        <w:left w:val="none" w:sz="0" w:space="0" w:color="auto"/>
        <w:bottom w:val="none" w:sz="0" w:space="0" w:color="auto"/>
        <w:right w:val="none" w:sz="0" w:space="0" w:color="auto"/>
      </w:divBdr>
    </w:div>
    <w:div w:id="87312922">
      <w:bodyDiv w:val="1"/>
      <w:marLeft w:val="0"/>
      <w:marRight w:val="0"/>
      <w:marTop w:val="0"/>
      <w:marBottom w:val="0"/>
      <w:divBdr>
        <w:top w:val="none" w:sz="0" w:space="0" w:color="auto"/>
        <w:left w:val="none" w:sz="0" w:space="0" w:color="auto"/>
        <w:bottom w:val="none" w:sz="0" w:space="0" w:color="auto"/>
        <w:right w:val="none" w:sz="0" w:space="0" w:color="auto"/>
      </w:divBdr>
    </w:div>
    <w:div w:id="90904628">
      <w:bodyDiv w:val="1"/>
      <w:marLeft w:val="0"/>
      <w:marRight w:val="0"/>
      <w:marTop w:val="0"/>
      <w:marBottom w:val="0"/>
      <w:divBdr>
        <w:top w:val="none" w:sz="0" w:space="0" w:color="auto"/>
        <w:left w:val="none" w:sz="0" w:space="0" w:color="auto"/>
        <w:bottom w:val="none" w:sz="0" w:space="0" w:color="auto"/>
        <w:right w:val="none" w:sz="0" w:space="0" w:color="auto"/>
      </w:divBdr>
    </w:div>
    <w:div w:id="105270308">
      <w:bodyDiv w:val="1"/>
      <w:marLeft w:val="0"/>
      <w:marRight w:val="0"/>
      <w:marTop w:val="0"/>
      <w:marBottom w:val="0"/>
      <w:divBdr>
        <w:top w:val="none" w:sz="0" w:space="0" w:color="auto"/>
        <w:left w:val="none" w:sz="0" w:space="0" w:color="auto"/>
        <w:bottom w:val="none" w:sz="0" w:space="0" w:color="auto"/>
        <w:right w:val="none" w:sz="0" w:space="0" w:color="auto"/>
      </w:divBdr>
    </w:div>
    <w:div w:id="253785698">
      <w:bodyDiv w:val="1"/>
      <w:marLeft w:val="0"/>
      <w:marRight w:val="0"/>
      <w:marTop w:val="0"/>
      <w:marBottom w:val="0"/>
      <w:divBdr>
        <w:top w:val="none" w:sz="0" w:space="0" w:color="auto"/>
        <w:left w:val="none" w:sz="0" w:space="0" w:color="auto"/>
        <w:bottom w:val="none" w:sz="0" w:space="0" w:color="auto"/>
        <w:right w:val="none" w:sz="0" w:space="0" w:color="auto"/>
      </w:divBdr>
    </w:div>
    <w:div w:id="299115421">
      <w:bodyDiv w:val="1"/>
      <w:marLeft w:val="0"/>
      <w:marRight w:val="0"/>
      <w:marTop w:val="0"/>
      <w:marBottom w:val="0"/>
      <w:divBdr>
        <w:top w:val="none" w:sz="0" w:space="0" w:color="auto"/>
        <w:left w:val="none" w:sz="0" w:space="0" w:color="auto"/>
        <w:bottom w:val="none" w:sz="0" w:space="0" w:color="auto"/>
        <w:right w:val="none" w:sz="0" w:space="0" w:color="auto"/>
      </w:divBdr>
    </w:div>
    <w:div w:id="319770551">
      <w:bodyDiv w:val="1"/>
      <w:marLeft w:val="0"/>
      <w:marRight w:val="0"/>
      <w:marTop w:val="0"/>
      <w:marBottom w:val="0"/>
      <w:divBdr>
        <w:top w:val="none" w:sz="0" w:space="0" w:color="auto"/>
        <w:left w:val="none" w:sz="0" w:space="0" w:color="auto"/>
        <w:bottom w:val="none" w:sz="0" w:space="0" w:color="auto"/>
        <w:right w:val="none" w:sz="0" w:space="0" w:color="auto"/>
      </w:divBdr>
    </w:div>
    <w:div w:id="354693267">
      <w:bodyDiv w:val="1"/>
      <w:marLeft w:val="0"/>
      <w:marRight w:val="0"/>
      <w:marTop w:val="0"/>
      <w:marBottom w:val="0"/>
      <w:divBdr>
        <w:top w:val="none" w:sz="0" w:space="0" w:color="auto"/>
        <w:left w:val="none" w:sz="0" w:space="0" w:color="auto"/>
        <w:bottom w:val="none" w:sz="0" w:space="0" w:color="auto"/>
        <w:right w:val="none" w:sz="0" w:space="0" w:color="auto"/>
      </w:divBdr>
    </w:div>
    <w:div w:id="533425163">
      <w:bodyDiv w:val="1"/>
      <w:marLeft w:val="0"/>
      <w:marRight w:val="0"/>
      <w:marTop w:val="0"/>
      <w:marBottom w:val="0"/>
      <w:divBdr>
        <w:top w:val="none" w:sz="0" w:space="0" w:color="auto"/>
        <w:left w:val="none" w:sz="0" w:space="0" w:color="auto"/>
        <w:bottom w:val="none" w:sz="0" w:space="0" w:color="auto"/>
        <w:right w:val="none" w:sz="0" w:space="0" w:color="auto"/>
      </w:divBdr>
    </w:div>
    <w:div w:id="1005322257">
      <w:bodyDiv w:val="1"/>
      <w:marLeft w:val="0"/>
      <w:marRight w:val="0"/>
      <w:marTop w:val="0"/>
      <w:marBottom w:val="0"/>
      <w:divBdr>
        <w:top w:val="none" w:sz="0" w:space="0" w:color="auto"/>
        <w:left w:val="none" w:sz="0" w:space="0" w:color="auto"/>
        <w:bottom w:val="none" w:sz="0" w:space="0" w:color="auto"/>
        <w:right w:val="none" w:sz="0" w:space="0" w:color="auto"/>
      </w:divBdr>
    </w:div>
    <w:div w:id="1193953644">
      <w:bodyDiv w:val="1"/>
      <w:marLeft w:val="0"/>
      <w:marRight w:val="0"/>
      <w:marTop w:val="0"/>
      <w:marBottom w:val="0"/>
      <w:divBdr>
        <w:top w:val="none" w:sz="0" w:space="0" w:color="auto"/>
        <w:left w:val="none" w:sz="0" w:space="0" w:color="auto"/>
        <w:bottom w:val="none" w:sz="0" w:space="0" w:color="auto"/>
        <w:right w:val="none" w:sz="0" w:space="0" w:color="auto"/>
      </w:divBdr>
    </w:div>
    <w:div w:id="1258904822">
      <w:bodyDiv w:val="1"/>
      <w:marLeft w:val="0"/>
      <w:marRight w:val="0"/>
      <w:marTop w:val="0"/>
      <w:marBottom w:val="0"/>
      <w:divBdr>
        <w:top w:val="none" w:sz="0" w:space="0" w:color="auto"/>
        <w:left w:val="none" w:sz="0" w:space="0" w:color="auto"/>
        <w:bottom w:val="none" w:sz="0" w:space="0" w:color="auto"/>
        <w:right w:val="none" w:sz="0" w:space="0" w:color="auto"/>
      </w:divBdr>
    </w:div>
    <w:div w:id="1274705430">
      <w:bodyDiv w:val="1"/>
      <w:marLeft w:val="0"/>
      <w:marRight w:val="0"/>
      <w:marTop w:val="0"/>
      <w:marBottom w:val="0"/>
      <w:divBdr>
        <w:top w:val="none" w:sz="0" w:space="0" w:color="auto"/>
        <w:left w:val="none" w:sz="0" w:space="0" w:color="auto"/>
        <w:bottom w:val="none" w:sz="0" w:space="0" w:color="auto"/>
        <w:right w:val="none" w:sz="0" w:space="0" w:color="auto"/>
      </w:divBdr>
    </w:div>
    <w:div w:id="1346055089">
      <w:bodyDiv w:val="1"/>
      <w:marLeft w:val="0"/>
      <w:marRight w:val="0"/>
      <w:marTop w:val="0"/>
      <w:marBottom w:val="0"/>
      <w:divBdr>
        <w:top w:val="none" w:sz="0" w:space="0" w:color="auto"/>
        <w:left w:val="none" w:sz="0" w:space="0" w:color="auto"/>
        <w:bottom w:val="none" w:sz="0" w:space="0" w:color="auto"/>
        <w:right w:val="none" w:sz="0" w:space="0" w:color="auto"/>
      </w:divBdr>
    </w:div>
    <w:div w:id="1426342678">
      <w:bodyDiv w:val="1"/>
      <w:marLeft w:val="0"/>
      <w:marRight w:val="0"/>
      <w:marTop w:val="0"/>
      <w:marBottom w:val="0"/>
      <w:divBdr>
        <w:top w:val="none" w:sz="0" w:space="0" w:color="auto"/>
        <w:left w:val="none" w:sz="0" w:space="0" w:color="auto"/>
        <w:bottom w:val="none" w:sz="0" w:space="0" w:color="auto"/>
        <w:right w:val="none" w:sz="0" w:space="0" w:color="auto"/>
      </w:divBdr>
    </w:div>
    <w:div w:id="1445615232">
      <w:bodyDiv w:val="1"/>
      <w:marLeft w:val="0"/>
      <w:marRight w:val="0"/>
      <w:marTop w:val="0"/>
      <w:marBottom w:val="0"/>
      <w:divBdr>
        <w:top w:val="none" w:sz="0" w:space="0" w:color="auto"/>
        <w:left w:val="none" w:sz="0" w:space="0" w:color="auto"/>
        <w:bottom w:val="none" w:sz="0" w:space="0" w:color="auto"/>
        <w:right w:val="none" w:sz="0" w:space="0" w:color="auto"/>
      </w:divBdr>
    </w:div>
    <w:div w:id="1449348724">
      <w:bodyDiv w:val="1"/>
      <w:marLeft w:val="0"/>
      <w:marRight w:val="0"/>
      <w:marTop w:val="0"/>
      <w:marBottom w:val="0"/>
      <w:divBdr>
        <w:top w:val="none" w:sz="0" w:space="0" w:color="auto"/>
        <w:left w:val="none" w:sz="0" w:space="0" w:color="auto"/>
        <w:bottom w:val="none" w:sz="0" w:space="0" w:color="auto"/>
        <w:right w:val="none" w:sz="0" w:space="0" w:color="auto"/>
      </w:divBdr>
    </w:div>
    <w:div w:id="1493522176">
      <w:bodyDiv w:val="1"/>
      <w:marLeft w:val="0"/>
      <w:marRight w:val="0"/>
      <w:marTop w:val="0"/>
      <w:marBottom w:val="0"/>
      <w:divBdr>
        <w:top w:val="none" w:sz="0" w:space="0" w:color="auto"/>
        <w:left w:val="none" w:sz="0" w:space="0" w:color="auto"/>
        <w:bottom w:val="none" w:sz="0" w:space="0" w:color="auto"/>
        <w:right w:val="none" w:sz="0" w:space="0" w:color="auto"/>
      </w:divBdr>
    </w:div>
    <w:div w:id="1508784888">
      <w:bodyDiv w:val="1"/>
      <w:marLeft w:val="0"/>
      <w:marRight w:val="0"/>
      <w:marTop w:val="0"/>
      <w:marBottom w:val="0"/>
      <w:divBdr>
        <w:top w:val="none" w:sz="0" w:space="0" w:color="auto"/>
        <w:left w:val="none" w:sz="0" w:space="0" w:color="auto"/>
        <w:bottom w:val="none" w:sz="0" w:space="0" w:color="auto"/>
        <w:right w:val="none" w:sz="0" w:space="0" w:color="auto"/>
      </w:divBdr>
    </w:div>
    <w:div w:id="1666594686">
      <w:bodyDiv w:val="1"/>
      <w:marLeft w:val="0"/>
      <w:marRight w:val="0"/>
      <w:marTop w:val="0"/>
      <w:marBottom w:val="0"/>
      <w:divBdr>
        <w:top w:val="none" w:sz="0" w:space="0" w:color="auto"/>
        <w:left w:val="none" w:sz="0" w:space="0" w:color="auto"/>
        <w:bottom w:val="none" w:sz="0" w:space="0" w:color="auto"/>
        <w:right w:val="none" w:sz="0" w:space="0" w:color="auto"/>
      </w:divBdr>
    </w:div>
    <w:div w:id="1705669485">
      <w:bodyDiv w:val="1"/>
      <w:marLeft w:val="0"/>
      <w:marRight w:val="0"/>
      <w:marTop w:val="0"/>
      <w:marBottom w:val="0"/>
      <w:divBdr>
        <w:top w:val="none" w:sz="0" w:space="0" w:color="auto"/>
        <w:left w:val="none" w:sz="0" w:space="0" w:color="auto"/>
        <w:bottom w:val="none" w:sz="0" w:space="0" w:color="auto"/>
        <w:right w:val="none" w:sz="0" w:space="0" w:color="auto"/>
      </w:divBdr>
    </w:div>
    <w:div w:id="1732921853">
      <w:bodyDiv w:val="1"/>
      <w:marLeft w:val="0"/>
      <w:marRight w:val="0"/>
      <w:marTop w:val="0"/>
      <w:marBottom w:val="0"/>
      <w:divBdr>
        <w:top w:val="none" w:sz="0" w:space="0" w:color="auto"/>
        <w:left w:val="none" w:sz="0" w:space="0" w:color="auto"/>
        <w:bottom w:val="none" w:sz="0" w:space="0" w:color="auto"/>
        <w:right w:val="none" w:sz="0" w:space="0" w:color="auto"/>
      </w:divBdr>
    </w:div>
    <w:div w:id="1847162357">
      <w:bodyDiv w:val="1"/>
      <w:marLeft w:val="0"/>
      <w:marRight w:val="0"/>
      <w:marTop w:val="0"/>
      <w:marBottom w:val="0"/>
      <w:divBdr>
        <w:top w:val="none" w:sz="0" w:space="0" w:color="auto"/>
        <w:left w:val="none" w:sz="0" w:space="0" w:color="auto"/>
        <w:bottom w:val="none" w:sz="0" w:space="0" w:color="auto"/>
        <w:right w:val="none" w:sz="0" w:space="0" w:color="auto"/>
      </w:divBdr>
    </w:div>
    <w:div w:id="1911160842">
      <w:bodyDiv w:val="1"/>
      <w:marLeft w:val="0"/>
      <w:marRight w:val="0"/>
      <w:marTop w:val="0"/>
      <w:marBottom w:val="0"/>
      <w:divBdr>
        <w:top w:val="none" w:sz="0" w:space="0" w:color="auto"/>
        <w:left w:val="none" w:sz="0" w:space="0" w:color="auto"/>
        <w:bottom w:val="none" w:sz="0" w:space="0" w:color="auto"/>
        <w:right w:val="none" w:sz="0" w:space="0" w:color="auto"/>
      </w:divBdr>
    </w:div>
    <w:div w:id="1956909701">
      <w:bodyDiv w:val="1"/>
      <w:marLeft w:val="0"/>
      <w:marRight w:val="0"/>
      <w:marTop w:val="0"/>
      <w:marBottom w:val="0"/>
      <w:divBdr>
        <w:top w:val="none" w:sz="0" w:space="0" w:color="auto"/>
        <w:left w:val="none" w:sz="0" w:space="0" w:color="auto"/>
        <w:bottom w:val="none" w:sz="0" w:space="0" w:color="auto"/>
        <w:right w:val="none" w:sz="0" w:space="0" w:color="auto"/>
      </w:divBdr>
    </w:div>
    <w:div w:id="1961180505">
      <w:bodyDiv w:val="1"/>
      <w:marLeft w:val="0"/>
      <w:marRight w:val="0"/>
      <w:marTop w:val="0"/>
      <w:marBottom w:val="0"/>
      <w:divBdr>
        <w:top w:val="none" w:sz="0" w:space="0" w:color="auto"/>
        <w:left w:val="none" w:sz="0" w:space="0" w:color="auto"/>
        <w:bottom w:val="none" w:sz="0" w:space="0" w:color="auto"/>
        <w:right w:val="none" w:sz="0" w:space="0" w:color="auto"/>
      </w:divBdr>
    </w:div>
    <w:div w:id="2072532799">
      <w:bodyDiv w:val="1"/>
      <w:marLeft w:val="0"/>
      <w:marRight w:val="0"/>
      <w:marTop w:val="0"/>
      <w:marBottom w:val="0"/>
      <w:divBdr>
        <w:top w:val="none" w:sz="0" w:space="0" w:color="auto"/>
        <w:left w:val="none" w:sz="0" w:space="0" w:color="auto"/>
        <w:bottom w:val="none" w:sz="0" w:space="0" w:color="auto"/>
        <w:right w:val="none" w:sz="0" w:space="0" w:color="auto"/>
      </w:divBdr>
    </w:div>
    <w:div w:id="20848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20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0523-0FF4-49D6-BF83-ED26B9B6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8</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Blank Document Template</vt:lpstr>
    </vt:vector>
  </TitlesOfParts>
  <Company>PA Consulting Group</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 Template</dc:title>
  <dc:creator>LONCS17</dc:creator>
  <cp:lastModifiedBy>benclover</cp:lastModifiedBy>
  <cp:revision>2</cp:revision>
  <cp:lastPrinted>2012-04-30T14:47:00Z</cp:lastPrinted>
  <dcterms:created xsi:type="dcterms:W3CDTF">2012-06-07T15:25:00Z</dcterms:created>
  <dcterms:modified xsi:type="dcterms:W3CDTF">2012-06-07T15:25:00Z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5.6  10/05/06 01:05:04</vt:lpwstr>
  </property>
</Properties>
</file>