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0"/>
        <w:gridCol w:w="120"/>
        <w:gridCol w:w="3206"/>
      </w:tblGrid>
      <w:tr w:rsidR="00D24962" w:rsidTr="00D24962">
        <w:trPr>
          <w:tblCellSpacing w:w="0" w:type="dxa"/>
        </w:trPr>
        <w:tc>
          <w:tcPr>
            <w:tcW w:w="3200" w:type="pct"/>
            <w:shd w:val="clear" w:color="auto" w:fill="FFFFFF"/>
            <w:hideMark/>
          </w:tcPr>
          <w:p w:rsidR="00D24962" w:rsidRDefault="00D24962">
            <w:r>
              <w:rPr>
                <w:rFonts w:ascii="Arial" w:hAnsi="Arial" w:cs="Arial"/>
                <w:color w:val="666666"/>
                <w:sz w:val="17"/>
                <w:szCs w:val="17"/>
              </w:rPr>
              <w:t>News and information from NHS Clinical Commissioners</w:t>
            </w:r>
          </w:p>
        </w:tc>
        <w:tc>
          <w:tcPr>
            <w:tcW w:w="135" w:type="dxa"/>
            <w:shd w:val="clear" w:color="auto" w:fill="FFFFFF"/>
            <w:hideMark/>
          </w:tcPr>
          <w:p w:rsidR="00D24962" w:rsidRDefault="00D24962">
            <w:r>
              <w:rPr>
                <w:noProof/>
              </w:rPr>
              <w:drawing>
                <wp:inline distT="0" distB="0" distL="0" distR="0">
                  <wp:extent cx="76200" cy="95250"/>
                  <wp:effectExtent l="0" t="0" r="0" b="0"/>
                  <wp:docPr id="8" name="Picture 8" descr="http://i.emlfiles5.com/cmpimg/2008/1585/915357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lfiles5.com/cmpimg/2008/1585/915357_spacer.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800" w:type="pct"/>
            <w:shd w:val="clear" w:color="auto" w:fill="FFFFFF"/>
            <w:hideMark/>
          </w:tcPr>
          <w:tbl>
            <w:tblPr>
              <w:tblW w:w="2925" w:type="dxa"/>
              <w:tblCellSpacing w:w="0" w:type="dxa"/>
              <w:tblCellMar>
                <w:left w:w="0" w:type="dxa"/>
                <w:right w:w="0" w:type="dxa"/>
              </w:tblCellMar>
              <w:tblLook w:val="04A0" w:firstRow="1" w:lastRow="0" w:firstColumn="1" w:lastColumn="0" w:noHBand="0" w:noVBand="1"/>
            </w:tblPr>
            <w:tblGrid>
              <w:gridCol w:w="2925"/>
            </w:tblGrid>
            <w:tr w:rsidR="00D24962">
              <w:trPr>
                <w:tblCellSpacing w:w="0" w:type="dxa"/>
              </w:trPr>
              <w:tc>
                <w:tcPr>
                  <w:tcW w:w="6" w:type="dxa"/>
                  <w:tcMar>
                    <w:top w:w="0" w:type="dxa"/>
                    <w:left w:w="0" w:type="dxa"/>
                    <w:bottom w:w="60" w:type="dxa"/>
                    <w:right w:w="0" w:type="dxa"/>
                  </w:tcMar>
                  <w:vAlign w:val="center"/>
                  <w:hideMark/>
                </w:tcPr>
                <w:p w:rsidR="00D24962" w:rsidRDefault="00D24962">
                  <w:pPr>
                    <w:jc w:val="right"/>
                  </w:pPr>
                  <w:hyperlink r:id="rId7" w:tooltip="View online" w:history="1">
                    <w:r>
                      <w:rPr>
                        <w:rStyle w:val="Hyperlink"/>
                        <w:rFonts w:ascii="Arial" w:hAnsi="Arial" w:cs="Arial"/>
                        <w:color w:val="666666"/>
                        <w:sz w:val="15"/>
                        <w:szCs w:val="15"/>
                      </w:rPr>
                      <w:t>View email in browser</w:t>
                    </w:r>
                  </w:hyperlink>
                  <w:r>
                    <w:rPr>
                      <w:rFonts w:ascii="Arial" w:hAnsi="Arial" w:cs="Arial"/>
                      <w:color w:val="666666"/>
                      <w:sz w:val="15"/>
                      <w:szCs w:val="15"/>
                    </w:rPr>
                    <w:t xml:space="preserve"> | </w:t>
                  </w:r>
                  <w:hyperlink r:id="rId8" w:tooltip="Forward to a friend" w:history="1">
                    <w:r>
                      <w:rPr>
                        <w:rStyle w:val="Hyperlink"/>
                        <w:rFonts w:ascii="Arial" w:hAnsi="Arial" w:cs="Arial"/>
                        <w:color w:val="666666"/>
                        <w:sz w:val="15"/>
                        <w:szCs w:val="15"/>
                      </w:rPr>
                      <w:t>Forward to a friend</w:t>
                    </w:r>
                  </w:hyperlink>
                </w:p>
              </w:tc>
            </w:tr>
          </w:tbl>
          <w:p w:rsidR="00D24962" w:rsidRDefault="00D24962">
            <w:pPr>
              <w:rPr>
                <w:rFonts w:eastAsia="Times New Roman"/>
                <w:sz w:val="20"/>
                <w:szCs w:val="20"/>
              </w:rPr>
            </w:pPr>
          </w:p>
        </w:tc>
      </w:tr>
    </w:tbl>
    <w:p w:rsidR="00D24962" w:rsidRDefault="00D24962" w:rsidP="00D24962"/>
    <w:tbl>
      <w:tblPr>
        <w:tblW w:w="5000" w:type="pct"/>
        <w:tblCellSpacing w:w="0" w:type="dxa"/>
        <w:tblCellMar>
          <w:left w:w="0" w:type="dxa"/>
          <w:right w:w="0" w:type="dxa"/>
        </w:tblCellMar>
        <w:tblLook w:val="04A0" w:firstRow="1" w:lastRow="0" w:firstColumn="1" w:lastColumn="0" w:noHBand="0" w:noVBand="1"/>
      </w:tblPr>
      <w:tblGrid>
        <w:gridCol w:w="9026"/>
      </w:tblGrid>
      <w:tr w:rsidR="00D24962" w:rsidTr="00D24962">
        <w:trPr>
          <w:tblCellSpacing w:w="0" w:type="dxa"/>
        </w:trPr>
        <w:tc>
          <w:tcPr>
            <w:tcW w:w="5000" w:type="pct"/>
          </w:tcPr>
          <w:tbl>
            <w:tblPr>
              <w:tblW w:w="5000" w:type="pct"/>
              <w:tblCellSpacing w:w="0" w:type="dxa"/>
              <w:tblCellMar>
                <w:left w:w="0" w:type="dxa"/>
                <w:right w:w="0" w:type="dxa"/>
              </w:tblCellMar>
              <w:tblLook w:val="04A0" w:firstRow="1" w:lastRow="0" w:firstColumn="1" w:lastColumn="0" w:noHBand="0" w:noVBand="1"/>
            </w:tblPr>
            <w:tblGrid>
              <w:gridCol w:w="9026"/>
            </w:tblGrid>
            <w:tr w:rsidR="00D24962">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D24962">
                    <w:trPr>
                      <w:tblCellSpacing w:w="0" w:type="dxa"/>
                    </w:trPr>
                    <w:tc>
                      <w:tcPr>
                        <w:tcW w:w="8250" w:type="dxa"/>
                        <w:vAlign w:val="center"/>
                        <w:hideMark/>
                      </w:tcPr>
                      <w:p w:rsidR="00D24962" w:rsidRDefault="00D24962">
                        <w:pPr>
                          <w:spacing w:line="15" w:lineRule="atLeast"/>
                          <w:rPr>
                            <w:sz w:val="2"/>
                            <w:szCs w:val="2"/>
                          </w:rPr>
                        </w:pPr>
                        <w:r>
                          <w:rPr>
                            <w:noProof/>
                            <w:sz w:val="2"/>
                            <w:szCs w:val="2"/>
                          </w:rPr>
                          <w:drawing>
                            <wp:inline distT="0" distB="0" distL="0" distR="0">
                              <wp:extent cx="5238750" cy="914400"/>
                              <wp:effectExtent l="0" t="0" r="0" b="0"/>
                              <wp:docPr id="7" name="Picture 7" descr="http://i.emlfiles5.com/cmpimg/4/3/2/4/9/files/imagecache/3850948/w550_4402702_nhsccmasthead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mlfiles5.com/cmpimg/4/3/2/4/9/files/imagecache/3850948/w550_4402702_nhsccmastheadupdated.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38750" cy="914400"/>
                                      </a:xfrm>
                                      <a:prstGeom prst="rect">
                                        <a:avLst/>
                                      </a:prstGeom>
                                      <a:noFill/>
                                      <a:ln>
                                        <a:noFill/>
                                      </a:ln>
                                    </pic:spPr>
                                  </pic:pic>
                                </a:graphicData>
                              </a:graphic>
                            </wp:inline>
                          </w:drawing>
                        </w:r>
                      </w:p>
                    </w:tc>
                  </w:tr>
                </w:tbl>
                <w:p w:rsidR="00D24962" w:rsidRDefault="00D24962">
                  <w:pPr>
                    <w:rPr>
                      <w:rFonts w:eastAsia="Times New Roman"/>
                      <w:sz w:val="20"/>
                      <w:szCs w:val="20"/>
                    </w:rPr>
                  </w:pPr>
                </w:p>
              </w:tc>
            </w:tr>
          </w:tbl>
          <w:p w:rsidR="00D24962" w:rsidRDefault="00D24962"/>
          <w:tbl>
            <w:tblPr>
              <w:tblW w:w="5000" w:type="pct"/>
              <w:tblCellSpacing w:w="0" w:type="dxa"/>
              <w:tblCellMar>
                <w:left w:w="0" w:type="dxa"/>
                <w:right w:w="0" w:type="dxa"/>
              </w:tblCellMar>
              <w:tblLook w:val="04A0" w:firstRow="1" w:lastRow="0" w:firstColumn="1" w:lastColumn="0" w:noHBand="0" w:noVBand="1"/>
            </w:tblPr>
            <w:tblGrid>
              <w:gridCol w:w="9026"/>
            </w:tblGrid>
            <w:tr w:rsidR="00D24962">
              <w:trPr>
                <w:tblCellSpacing w:w="0" w:type="dxa"/>
              </w:trPr>
              <w:tc>
                <w:tcPr>
                  <w:tcW w:w="5000" w:type="pct"/>
                </w:tcPr>
                <w:tbl>
                  <w:tblPr>
                    <w:tblW w:w="5000" w:type="pct"/>
                    <w:tblCellSpacing w:w="0" w:type="dxa"/>
                    <w:tblCellMar>
                      <w:left w:w="0" w:type="dxa"/>
                      <w:right w:w="0" w:type="dxa"/>
                    </w:tblCellMar>
                    <w:tblLook w:val="04A0" w:firstRow="1" w:lastRow="0" w:firstColumn="1" w:lastColumn="0" w:noHBand="0" w:noVBand="1"/>
                  </w:tblPr>
                  <w:tblGrid>
                    <w:gridCol w:w="9026"/>
                  </w:tblGrid>
                  <w:tr w:rsidR="00D24962">
                    <w:trPr>
                      <w:tblCellSpacing w:w="0" w:type="dxa"/>
                    </w:trPr>
                    <w:tc>
                      <w:tcPr>
                        <w:tcW w:w="8250" w:type="dxa"/>
                        <w:vAlign w:val="center"/>
                        <w:hideMark/>
                      </w:tcPr>
                      <w:p w:rsidR="00D24962" w:rsidRDefault="00D24962">
                        <w:pPr>
                          <w:rPr>
                            <w:sz w:val="2"/>
                            <w:szCs w:val="2"/>
                          </w:rPr>
                        </w:pPr>
                        <w:r>
                          <w:rPr>
                            <w:noProof/>
                            <w:sz w:val="2"/>
                            <w:szCs w:val="2"/>
                          </w:rPr>
                          <w:drawing>
                            <wp:inline distT="0" distB="0" distL="0" distR="0">
                              <wp:extent cx="95250" cy="47625"/>
                              <wp:effectExtent l="0" t="0" r="0" b="0"/>
                              <wp:docPr id="6" name="Picture 6" descr="http://i.emlfiles5.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mlfiles5.com/cmpimg/t/s.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inline>
                          </w:drawing>
                        </w:r>
                      </w:p>
                    </w:tc>
                  </w:tr>
                </w:tbl>
                <w:p w:rsidR="00D24962" w:rsidRDefault="00D24962">
                  <w:pPr>
                    <w:rPr>
                      <w:vanish/>
                    </w:rPr>
                  </w:pPr>
                </w:p>
                <w:tbl>
                  <w:tblPr>
                    <w:tblW w:w="8250" w:type="dxa"/>
                    <w:tblCellSpacing w:w="0" w:type="dxa"/>
                    <w:shd w:val="clear" w:color="auto" w:fill="008AC4"/>
                    <w:tblCellMar>
                      <w:left w:w="0" w:type="dxa"/>
                      <w:right w:w="0" w:type="dxa"/>
                    </w:tblCellMar>
                    <w:tblLook w:val="04A0" w:firstRow="1" w:lastRow="0" w:firstColumn="1" w:lastColumn="0" w:noHBand="0" w:noVBand="1"/>
                  </w:tblPr>
                  <w:tblGrid>
                    <w:gridCol w:w="8250"/>
                  </w:tblGrid>
                  <w:tr w:rsidR="00D24962">
                    <w:trPr>
                      <w:tblCellSpacing w:w="0" w:type="dxa"/>
                    </w:trPr>
                    <w:tc>
                      <w:tcPr>
                        <w:tcW w:w="6" w:type="dxa"/>
                        <w:shd w:val="clear" w:color="auto" w:fill="008AC4"/>
                        <w:tcMar>
                          <w:top w:w="90" w:type="dxa"/>
                          <w:left w:w="90" w:type="dxa"/>
                          <w:bottom w:w="90" w:type="dxa"/>
                          <w:right w:w="90" w:type="dxa"/>
                        </w:tcMar>
                        <w:hideMark/>
                      </w:tcPr>
                      <w:p w:rsidR="00D24962" w:rsidRDefault="00D24962">
                        <w:r>
                          <w:rPr>
                            <w:rFonts w:ascii="Arial" w:hAnsi="Arial" w:cs="Arial"/>
                            <w:color w:val="FFFFFF"/>
                          </w:rPr>
                          <w:t>CHC legacy debt and arbitration mechanism</w:t>
                        </w:r>
                      </w:p>
                    </w:tc>
                  </w:tr>
                </w:tbl>
                <w:p w:rsidR="00D24962" w:rsidRDefault="00D24962">
                  <w:pPr>
                    <w:rPr>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24962">
                    <w:trPr>
                      <w:tblCellSpacing w:w="0" w:type="dxa"/>
                    </w:trPr>
                    <w:tc>
                      <w:tcPr>
                        <w:tcW w:w="8250" w:type="dxa"/>
                        <w:vAlign w:val="center"/>
                        <w:hideMark/>
                      </w:tcPr>
                      <w:p w:rsidR="00D24962" w:rsidRDefault="00D24962">
                        <w:pPr>
                          <w:rPr>
                            <w:sz w:val="2"/>
                            <w:szCs w:val="2"/>
                          </w:rPr>
                        </w:pPr>
                        <w:r>
                          <w:rPr>
                            <w:noProof/>
                            <w:sz w:val="2"/>
                            <w:szCs w:val="2"/>
                          </w:rPr>
                          <w:drawing>
                            <wp:inline distT="0" distB="0" distL="0" distR="0">
                              <wp:extent cx="95250" cy="95250"/>
                              <wp:effectExtent l="0" t="0" r="0" b="0"/>
                              <wp:docPr id="5" name="Picture 5" descr="http://i.emlfiles5.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emlfiles5.com/cmpimg/t/s.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rsidR="00D24962" w:rsidRDefault="00D24962"/>
                <w:tbl>
                  <w:tblPr>
                    <w:tblW w:w="5000" w:type="pct"/>
                    <w:tblCellSpacing w:w="0" w:type="dxa"/>
                    <w:tblCellMar>
                      <w:left w:w="0" w:type="dxa"/>
                      <w:right w:w="0" w:type="dxa"/>
                    </w:tblCellMar>
                    <w:tblLook w:val="04A0" w:firstRow="1" w:lastRow="0" w:firstColumn="1" w:lastColumn="0" w:noHBand="0" w:noVBand="1"/>
                  </w:tblPr>
                  <w:tblGrid>
                    <w:gridCol w:w="9026"/>
                  </w:tblGrid>
                  <w:tr w:rsidR="00D24962">
                    <w:trPr>
                      <w:tblCellSpacing w:w="0" w:type="dxa"/>
                    </w:trPr>
                    <w:tc>
                      <w:tcPr>
                        <w:tcW w:w="5000" w:type="pct"/>
                      </w:tcPr>
                      <w:tbl>
                        <w:tblPr>
                          <w:tblW w:w="5000" w:type="pct"/>
                          <w:tblCellSpacing w:w="0" w:type="dxa"/>
                          <w:tblCellMar>
                            <w:left w:w="0" w:type="dxa"/>
                            <w:right w:w="0" w:type="dxa"/>
                          </w:tblCellMar>
                          <w:tblLook w:val="04A0" w:firstRow="1" w:lastRow="0" w:firstColumn="1" w:lastColumn="0" w:noHBand="0" w:noVBand="1"/>
                        </w:tblPr>
                        <w:tblGrid>
                          <w:gridCol w:w="9026"/>
                        </w:tblGrid>
                        <w:tr w:rsidR="00D24962">
                          <w:trPr>
                            <w:tblCellSpacing w:w="0" w:type="dxa"/>
                          </w:trPr>
                          <w:tc>
                            <w:tcPr>
                              <w:tcW w:w="5000" w:type="pct"/>
                              <w:hideMark/>
                            </w:tcPr>
                            <w:p w:rsidR="00D24962" w:rsidRDefault="00D24962">
                              <w:pPr>
                                <w:rPr>
                                  <w:rFonts w:eastAsia="Times New Roman"/>
                                  <w:sz w:val="20"/>
                                  <w:szCs w:val="20"/>
                                </w:rPr>
                              </w:pPr>
                            </w:p>
                          </w:tc>
                        </w:tr>
                      </w:tbl>
                      <w:p w:rsidR="00D24962" w:rsidRDefault="00D24962">
                        <w:pPr>
                          <w:rPr>
                            <w:vanish/>
                          </w:rPr>
                        </w:pPr>
                      </w:p>
                      <w:tbl>
                        <w:tblPr>
                          <w:tblW w:w="8250" w:type="dxa"/>
                          <w:tblCellSpacing w:w="0" w:type="dxa"/>
                          <w:tblCellMar>
                            <w:left w:w="0" w:type="dxa"/>
                            <w:right w:w="0" w:type="dxa"/>
                          </w:tblCellMar>
                          <w:tblLook w:val="04A0" w:firstRow="1" w:lastRow="0" w:firstColumn="1" w:lastColumn="0" w:noHBand="0" w:noVBand="1"/>
                        </w:tblPr>
                        <w:tblGrid>
                          <w:gridCol w:w="8250"/>
                        </w:tblGrid>
                        <w:tr w:rsidR="00D24962">
                          <w:trPr>
                            <w:tblCellSpacing w:w="0" w:type="dxa"/>
                          </w:trPr>
                          <w:tc>
                            <w:tcPr>
                              <w:tcW w:w="6" w:type="dxa"/>
                              <w:tcMar>
                                <w:top w:w="90" w:type="dxa"/>
                                <w:left w:w="90" w:type="dxa"/>
                                <w:bottom w:w="90" w:type="dxa"/>
                                <w:right w:w="90" w:type="dxa"/>
                              </w:tcMar>
                              <w:hideMark/>
                            </w:tcPr>
                            <w:p w:rsidR="00D24962" w:rsidRDefault="00D24962">
                              <w:r>
                                <w:rPr>
                                  <w:rFonts w:ascii="Arial" w:hAnsi="Arial" w:cs="Arial"/>
                                  <w:color w:val="333333"/>
                                  <w:sz w:val="18"/>
                                  <w:szCs w:val="18"/>
                                </w:rPr>
                                <w:t>Dear colleague</w:t>
                              </w:r>
                              <w:r>
                                <w:rPr>
                                  <w:rFonts w:ascii="Arial" w:hAnsi="Arial" w:cs="Arial"/>
                                  <w:color w:val="333333"/>
                                  <w:sz w:val="18"/>
                                  <w:szCs w:val="18"/>
                                </w:rPr>
                                <w:br/>
                              </w:r>
                              <w:r>
                                <w:rPr>
                                  <w:rFonts w:ascii="Arial" w:hAnsi="Arial" w:cs="Arial"/>
                                  <w:color w:val="333333"/>
                                  <w:sz w:val="18"/>
                                  <w:szCs w:val="18"/>
                                </w:rPr>
                                <w:br/>
                                <w:t xml:space="preserve">In my CCG Leaders Bulletin last week I shared with you the </w:t>
                              </w:r>
                              <w:hyperlink r:id="rId15" w:history="1">
                                <w:r>
                                  <w:rPr>
                                    <w:rStyle w:val="Hyperlink"/>
                                    <w:rFonts w:ascii="Arial" w:hAnsi="Arial" w:cs="Arial"/>
                                    <w:b/>
                                    <w:bCs/>
                                    <w:color w:val="008AC4"/>
                                    <w:sz w:val="18"/>
                                    <w:szCs w:val="18"/>
                                  </w:rPr>
                                  <w:t>letter we had sent to NHS England</w:t>
                                </w:r>
                              </w:hyperlink>
                              <w:r>
                                <w:rPr>
                                  <w:rFonts w:ascii="Arial" w:hAnsi="Arial" w:cs="Arial"/>
                                  <w:color w:val="333333"/>
                                  <w:sz w:val="18"/>
                                  <w:szCs w:val="18"/>
                                </w:rPr>
                                <w:t xml:space="preserve"> about the CHC legacy debt issue and the way in which NHS England had made decisions about the establishment of a risk pool etc.  Amanda Doyle, Charles </w:t>
                              </w:r>
                              <w:proofErr w:type="spellStart"/>
                              <w:r>
                                <w:rPr>
                                  <w:rFonts w:ascii="Arial" w:hAnsi="Arial" w:cs="Arial"/>
                                  <w:color w:val="333333"/>
                                  <w:sz w:val="18"/>
                                  <w:szCs w:val="18"/>
                                </w:rPr>
                                <w:t>Alessi</w:t>
                              </w:r>
                              <w:proofErr w:type="spellEnd"/>
                              <w:r>
                                <w:rPr>
                                  <w:rFonts w:ascii="Arial" w:hAnsi="Arial" w:cs="Arial"/>
                                  <w:color w:val="333333"/>
                                  <w:sz w:val="18"/>
                                  <w:szCs w:val="18"/>
                                </w:rPr>
                                <w:t xml:space="preserve"> and </w:t>
                              </w:r>
                              <w:proofErr w:type="gramStart"/>
                              <w:r>
                                <w:rPr>
                                  <w:rFonts w:ascii="Arial" w:hAnsi="Arial" w:cs="Arial"/>
                                  <w:color w:val="333333"/>
                                  <w:sz w:val="18"/>
                                  <w:szCs w:val="18"/>
                                </w:rPr>
                                <w:t>myself</w:t>
                              </w:r>
                              <w:proofErr w:type="gramEnd"/>
                              <w:r>
                                <w:rPr>
                                  <w:rFonts w:ascii="Arial" w:hAnsi="Arial" w:cs="Arial"/>
                                  <w:color w:val="333333"/>
                                  <w:sz w:val="18"/>
                                  <w:szCs w:val="18"/>
                                </w:rPr>
                                <w:t xml:space="preserve"> discussed this with </w:t>
                              </w:r>
                              <w:proofErr w:type="spellStart"/>
                              <w:r>
                                <w:rPr>
                                  <w:rFonts w:ascii="Arial" w:hAnsi="Arial" w:cs="Arial"/>
                                  <w:color w:val="333333"/>
                                  <w:sz w:val="18"/>
                                  <w:szCs w:val="18"/>
                                </w:rPr>
                                <w:t>Ros</w:t>
                              </w:r>
                              <w:proofErr w:type="spellEnd"/>
                              <w:r>
                                <w:rPr>
                                  <w:rFonts w:ascii="Arial" w:hAnsi="Arial" w:cs="Arial"/>
                                  <w:color w:val="333333"/>
                                  <w:sz w:val="18"/>
                                  <w:szCs w:val="18"/>
                                </w:rPr>
                                <w:t xml:space="preserve"> </w:t>
                              </w:r>
                              <w:proofErr w:type="spellStart"/>
                              <w:r>
                                <w:rPr>
                                  <w:rFonts w:ascii="Arial" w:hAnsi="Arial" w:cs="Arial"/>
                                  <w:color w:val="333333"/>
                                  <w:sz w:val="18"/>
                                  <w:szCs w:val="18"/>
                                </w:rPr>
                                <w:t>Roughton</w:t>
                              </w:r>
                              <w:proofErr w:type="spellEnd"/>
                              <w:r>
                                <w:rPr>
                                  <w:rFonts w:ascii="Arial" w:hAnsi="Arial" w:cs="Arial"/>
                                  <w:color w:val="333333"/>
                                  <w:sz w:val="18"/>
                                  <w:szCs w:val="18"/>
                                </w:rPr>
                                <w:t xml:space="preserve"> and Sheena Powell last Tuesday and were promised a full response which we now have – </w:t>
                              </w:r>
                              <w:hyperlink r:id="rId16" w:history="1">
                                <w:r>
                                  <w:rPr>
                                    <w:rStyle w:val="Hyperlink"/>
                                    <w:rFonts w:ascii="Arial" w:hAnsi="Arial" w:cs="Arial"/>
                                    <w:b/>
                                    <w:bCs/>
                                    <w:color w:val="008AC4"/>
                                    <w:sz w:val="18"/>
                                    <w:szCs w:val="18"/>
                                  </w:rPr>
                                  <w:t>see link</w:t>
                                </w:r>
                              </w:hyperlink>
                              <w:r>
                                <w:rPr>
                                  <w:rFonts w:ascii="Arial" w:hAnsi="Arial" w:cs="Arial"/>
                                  <w:color w:val="333333"/>
                                  <w:sz w:val="18"/>
                                  <w:szCs w:val="18"/>
                                </w:rPr>
                                <w:t xml:space="preserve">. I am sharing this with you, as our CCG leaders, once again on a confidential basis. </w:t>
                              </w:r>
                              <w:r>
                                <w:rPr>
                                  <w:rFonts w:ascii="Arial" w:hAnsi="Arial" w:cs="Arial"/>
                                  <w:color w:val="333333"/>
                                  <w:sz w:val="18"/>
                                  <w:szCs w:val="18"/>
                                </w:rPr>
                                <w:br/>
                              </w:r>
                              <w:r>
                                <w:rPr>
                                  <w:rFonts w:ascii="Arial" w:hAnsi="Arial" w:cs="Arial"/>
                                  <w:color w:val="333333"/>
                                  <w:sz w:val="18"/>
                                  <w:szCs w:val="18"/>
                                </w:rPr>
                                <w:br/>
                                <w:t xml:space="preserve">Just to give you a little more background, yesterday we discussed this at our Transitional Steering Group. Steve </w:t>
                              </w:r>
                              <w:proofErr w:type="spellStart"/>
                              <w:r>
                                <w:rPr>
                                  <w:rFonts w:ascii="Arial" w:hAnsi="Arial" w:cs="Arial"/>
                                  <w:color w:val="333333"/>
                                  <w:sz w:val="18"/>
                                  <w:szCs w:val="18"/>
                                </w:rPr>
                                <w:t>Kell</w:t>
                              </w:r>
                              <w:proofErr w:type="spellEnd"/>
                              <w:r>
                                <w:rPr>
                                  <w:rFonts w:ascii="Arial" w:hAnsi="Arial" w:cs="Arial"/>
                                  <w:color w:val="333333"/>
                                  <w:sz w:val="18"/>
                                  <w:szCs w:val="18"/>
                                </w:rPr>
                                <w:t xml:space="preserve">, Charles </w:t>
                              </w:r>
                              <w:proofErr w:type="spellStart"/>
                              <w:r>
                                <w:rPr>
                                  <w:rFonts w:ascii="Arial" w:hAnsi="Arial" w:cs="Arial"/>
                                  <w:color w:val="333333"/>
                                  <w:sz w:val="18"/>
                                  <w:szCs w:val="18"/>
                                </w:rPr>
                                <w:t>Alessi</w:t>
                              </w:r>
                              <w:proofErr w:type="spellEnd"/>
                              <w:r>
                                <w:rPr>
                                  <w:rFonts w:ascii="Arial" w:hAnsi="Arial" w:cs="Arial"/>
                                  <w:color w:val="333333"/>
                                  <w:sz w:val="18"/>
                                  <w:szCs w:val="18"/>
                                </w:rPr>
                                <w:t xml:space="preserve">, Michael Dixon and I were present. I also tested reactions to the response with a couple of Leadership Group members, asking about the potential next steps we might take on your behalf. The Steering Group has asked me to share the response with you, to highlight our reaction and seek your views.  </w:t>
                              </w:r>
                              <w:r>
                                <w:rPr>
                                  <w:rFonts w:ascii="Arial" w:hAnsi="Arial" w:cs="Arial"/>
                                  <w:color w:val="333333"/>
                                  <w:sz w:val="18"/>
                                  <w:szCs w:val="18"/>
                                </w:rPr>
                                <w:br/>
                              </w:r>
                              <w:r>
                                <w:rPr>
                                  <w:rFonts w:ascii="Arial" w:hAnsi="Arial" w:cs="Arial"/>
                                  <w:color w:val="333333"/>
                                  <w:sz w:val="18"/>
                                  <w:szCs w:val="18"/>
                                </w:rPr>
                                <w:br/>
                                <w:t>The key issues and concerns remain that:-</w:t>
                              </w:r>
                              <w:r>
                                <w:rPr>
                                  <w:rFonts w:ascii="Arial" w:hAnsi="Arial" w:cs="Arial"/>
                                  <w:color w:val="333333"/>
                                  <w:sz w:val="18"/>
                                  <w:szCs w:val="18"/>
                                </w:rPr>
                                <w:br/>
                              </w:r>
                              <w:r>
                                <w:rPr>
                                  <w:rFonts w:ascii="Arial" w:hAnsi="Arial" w:cs="Arial"/>
                                  <w:color w:val="333333"/>
                                  <w:sz w:val="18"/>
                                  <w:szCs w:val="18"/>
                                </w:rPr>
                                <w:br/>
                                <w:t xml:space="preserve">The NHS has in effect paid twice for the historical CHC liability at a time when the NHS can least afford it and that the legacy debt before 2010/11 has in effect, been passed over to CCGs. </w:t>
                              </w:r>
                              <w:r>
                                <w:rPr>
                                  <w:rFonts w:ascii="Arial" w:hAnsi="Arial" w:cs="Arial"/>
                                  <w:color w:val="333333"/>
                                  <w:sz w:val="18"/>
                                  <w:szCs w:val="18"/>
                                </w:rPr>
                                <w:br/>
                              </w:r>
                              <w:r>
                                <w:rPr>
                                  <w:rFonts w:ascii="Arial" w:hAnsi="Arial" w:cs="Arial"/>
                                  <w:color w:val="333333"/>
                                  <w:sz w:val="18"/>
                                  <w:szCs w:val="18"/>
                                </w:rPr>
                                <w:br/>
                                <w:t xml:space="preserve">We asked for clarity about the size of the financial ‘problem’ and what had happened to the provisions made by PCTs in 2012/13 accounts? The response does specify the size of the problem but we remain unclear as to where the £800 million went as a result of the treasury accounting regime? From discussions it is apparent that at the time it was never made clear that nationally these provisions would not count against the departments spending limit.  Instead the provisions were charged to a different budget, referred to as AME. As a result, although the NHS did pay the costs relating to CHC by diverting resources into this, the DH also ended up handing back a large underspend to the Treasury in 2012/13. Accountancy ‘rules’ have been given as the  explanation but this misses the point that the NHS paid once then and now a sub-set of the NHS commissioning system – CCGs – are being charged again. It should have been known and made very clear at the time that handling provisions in this way would not sort the issue out, because of the difference in ‘accounting’. As such we should ask why the NHS is paying </w:t>
                              </w:r>
                              <w:proofErr w:type="gramStart"/>
                              <w:r>
                                <w:rPr>
                                  <w:rFonts w:ascii="Arial" w:hAnsi="Arial" w:cs="Arial"/>
                                  <w:color w:val="333333"/>
                                  <w:sz w:val="18"/>
                                  <w:szCs w:val="18"/>
                                </w:rPr>
                                <w:t>twice?</w:t>
                              </w:r>
                              <w:proofErr w:type="gramEnd"/>
                              <w:r>
                                <w:rPr>
                                  <w:rFonts w:ascii="Arial" w:hAnsi="Arial" w:cs="Arial"/>
                                  <w:color w:val="333333"/>
                                  <w:sz w:val="18"/>
                                  <w:szCs w:val="18"/>
                                </w:rPr>
                                <w:t xml:space="preserve"> Surely the money should be paid back to the NHS so the costs can accrue against that fund starting 2014/15. Also we should ask for clarity around the apparent confusion that seems to have arisen about how the legacy debt is defined? This ‘confusion’ seems to be serving to mask the real issues.</w:t>
                              </w:r>
                              <w:r>
                                <w:rPr>
                                  <w:rFonts w:ascii="Arial" w:hAnsi="Arial" w:cs="Arial"/>
                                  <w:color w:val="333333"/>
                                  <w:sz w:val="18"/>
                                  <w:szCs w:val="18"/>
                                </w:rPr>
                                <w:br/>
                              </w:r>
                              <w:r>
                                <w:rPr>
                                  <w:rFonts w:ascii="Arial" w:hAnsi="Arial" w:cs="Arial"/>
                                  <w:color w:val="333333"/>
                                  <w:sz w:val="18"/>
                                  <w:szCs w:val="18"/>
                                </w:rPr>
                                <w:br/>
                                <w:t>NHS England also point to the NHSE board paper on allocations, noting that £250m was added to the pool for CCG allocations and that this has been distributed to CCGs. However, the only way CCGs have received this is via growth which only covers inflation uplift. So, the net effect of all this is that CCGs are receiving the standard 2.14% uplift.  Either NHS England must either confirm that they are not maintaining real term funding (as the GDP deflator was 2.14%, and actual acute tariff inflation including CNST is 2.8%) or they must confirm that CCGs haven’t received any extra funding in reality to cover the CHC cost. Either way we anticipate arguing this point on your behalf too.</w:t>
                              </w:r>
                              <w:r>
                                <w:rPr>
                                  <w:rFonts w:ascii="Arial" w:hAnsi="Arial" w:cs="Arial"/>
                                  <w:color w:val="333333"/>
                                  <w:sz w:val="18"/>
                                  <w:szCs w:val="18"/>
                                </w:rPr>
                                <w:br/>
                              </w:r>
                              <w:r>
                                <w:rPr>
                                  <w:rFonts w:ascii="Arial" w:hAnsi="Arial" w:cs="Arial"/>
                                  <w:color w:val="333333"/>
                                  <w:sz w:val="18"/>
                                  <w:szCs w:val="18"/>
                                </w:rPr>
                                <w:br/>
                              </w:r>
                              <w:r>
                                <w:rPr>
                                  <w:rFonts w:ascii="Arial" w:hAnsi="Arial" w:cs="Arial"/>
                                  <w:b/>
                                  <w:bCs/>
                                  <w:color w:val="333333"/>
                                  <w:sz w:val="18"/>
                                  <w:szCs w:val="18"/>
                                </w:rPr>
                                <w:t>Do you agree that these are the critical ongoing concerns that we should be pursuing on your behalf?</w:t>
                              </w:r>
                              <w:r>
                                <w:rPr>
                                  <w:rFonts w:ascii="Arial" w:hAnsi="Arial" w:cs="Arial"/>
                                  <w:color w:val="333333"/>
                                  <w:sz w:val="18"/>
                                  <w:szCs w:val="18"/>
                                </w:rPr>
                                <w:br/>
                              </w:r>
                              <w:r>
                                <w:rPr>
                                  <w:rFonts w:ascii="Arial" w:hAnsi="Arial" w:cs="Arial"/>
                                  <w:color w:val="333333"/>
                                  <w:sz w:val="18"/>
                                  <w:szCs w:val="18"/>
                                </w:rPr>
                                <w:br/>
                                <w:t>We are raising these issues at a variety of discussions over the next week with the Secretary of State’s office and Number 10 officials, as well as responding further to NHS England, very early next week, once we have any further reaction from yourselves as members.</w:t>
                              </w:r>
                              <w:r>
                                <w:rPr>
                                  <w:rFonts w:ascii="Arial" w:hAnsi="Arial" w:cs="Arial"/>
                                  <w:color w:val="333333"/>
                                  <w:sz w:val="18"/>
                                  <w:szCs w:val="18"/>
                                </w:rPr>
                                <w:br/>
                              </w:r>
                              <w:r>
                                <w:rPr>
                                  <w:rFonts w:ascii="Arial" w:hAnsi="Arial" w:cs="Arial"/>
                                  <w:color w:val="333333"/>
                                  <w:sz w:val="18"/>
                                  <w:szCs w:val="18"/>
                                </w:rPr>
                                <w:br/>
                                <w:t xml:space="preserve">We have made it very clear that there must be no criticism laid at the door of CCGs as a result of </w:t>
                              </w:r>
                              <w:r>
                                <w:rPr>
                                  <w:rFonts w:ascii="Arial" w:hAnsi="Arial" w:cs="Arial"/>
                                  <w:color w:val="333333"/>
                                  <w:sz w:val="18"/>
                                  <w:szCs w:val="18"/>
                                </w:rPr>
                                <w:lastRenderedPageBreak/>
                                <w:t xml:space="preserve">dealing with the legacy issue in the way NHS England has so far without discussion. Additionally there must be a collective way in which the financial risk of the £250 million on CCG financial bottom lines is managed. </w:t>
                              </w:r>
                              <w:r>
                                <w:rPr>
                                  <w:rFonts w:ascii="Arial" w:hAnsi="Arial" w:cs="Arial"/>
                                  <w:color w:val="333333"/>
                                  <w:sz w:val="18"/>
                                  <w:szCs w:val="18"/>
                                </w:rPr>
                                <w:br/>
                              </w:r>
                              <w:r>
                                <w:rPr>
                                  <w:rFonts w:ascii="Arial" w:hAnsi="Arial" w:cs="Arial"/>
                                  <w:color w:val="333333"/>
                                  <w:sz w:val="18"/>
                                  <w:szCs w:val="18"/>
                                </w:rPr>
                                <w:br/>
                                <w:t xml:space="preserve">The acceptance on the part of NHS England that they did not handle the engagement and communication with CCGs appropriately is welcomed, but we must now ensure that the NHS Commissioning Assembly Finance Reference Group which is to be established has the right Terms of Reference and powers. Also that it will have the right blend of people from CCGs on it as well as NHS England and a CCG Co-Chair. We feel we must drive this to happen and would value your thoughts. What will be the right level of involvement from CCGs and how might we as NHS Clinical Commissioners work to ensure that it does genuinely become a group operating in the ways expected of the new system - rather than the old? </w:t>
                              </w:r>
                              <w:r>
                                <w:rPr>
                                  <w:rFonts w:ascii="Arial" w:hAnsi="Arial" w:cs="Arial"/>
                                  <w:color w:val="333333"/>
                                  <w:sz w:val="18"/>
                                  <w:szCs w:val="18"/>
                                </w:rPr>
                                <w:br/>
                              </w:r>
                              <w:r>
                                <w:rPr>
                                  <w:rFonts w:ascii="Arial" w:hAnsi="Arial" w:cs="Arial"/>
                                  <w:color w:val="333333"/>
                                  <w:sz w:val="18"/>
                                  <w:szCs w:val="18"/>
                                </w:rPr>
                                <w:br/>
                                <w:t xml:space="preserve">Finally, having pushed back about this issue formally through the letter signed by Steve </w:t>
                              </w:r>
                              <w:proofErr w:type="spellStart"/>
                              <w:r>
                                <w:rPr>
                                  <w:rFonts w:ascii="Arial" w:hAnsi="Arial" w:cs="Arial"/>
                                  <w:color w:val="333333"/>
                                  <w:sz w:val="18"/>
                                  <w:szCs w:val="18"/>
                                </w:rPr>
                                <w:t>Kell</w:t>
                              </w:r>
                              <w:proofErr w:type="spellEnd"/>
                              <w:r>
                                <w:rPr>
                                  <w:rFonts w:ascii="Arial" w:hAnsi="Arial" w:cs="Arial"/>
                                  <w:color w:val="333333"/>
                                  <w:sz w:val="18"/>
                                  <w:szCs w:val="18"/>
                                </w:rPr>
                                <w:t xml:space="preserve"> and Amanda Doyle, we also became aware, last Friday about another piece of guidance that we were told by our members had come completely ‘left of field’. This was about handing disputes and the arbitration mechanism for contracts with non FTs, when not agreed by the end of February 2014. </w:t>
                              </w:r>
                              <w:r>
                                <w:rPr>
                                  <w:rFonts w:ascii="Arial" w:hAnsi="Arial" w:cs="Arial"/>
                                  <w:color w:val="333333"/>
                                  <w:sz w:val="18"/>
                                  <w:szCs w:val="18"/>
                                </w:rPr>
                                <w:br/>
                              </w:r>
                              <w:r>
                                <w:rPr>
                                  <w:rFonts w:ascii="Arial" w:hAnsi="Arial" w:cs="Arial"/>
                                  <w:color w:val="333333"/>
                                  <w:sz w:val="18"/>
                                  <w:szCs w:val="18"/>
                                </w:rPr>
                                <w:br/>
                                <w:t xml:space="preserve">Essentially the guidance details a process for contract arbitration specifying that arbitration will be via NHS England AND the Trust Development Authority (TDA). Furthermore it stipulates that the process will cost £100,000 if by the time of the guidance CCGs had not agreed contracts. The members who contacted me were extremely concerned about </w:t>
                              </w:r>
                              <w:proofErr w:type="gramStart"/>
                              <w:r>
                                <w:rPr>
                                  <w:rFonts w:ascii="Arial" w:hAnsi="Arial" w:cs="Arial"/>
                                  <w:color w:val="333333"/>
                                  <w:sz w:val="18"/>
                                  <w:szCs w:val="18"/>
                                </w:rPr>
                                <w:t>this</w:t>
                              </w:r>
                              <w:proofErr w:type="gramEnd"/>
                              <w:r>
                                <w:rPr>
                                  <w:rFonts w:ascii="Arial" w:hAnsi="Arial" w:cs="Arial"/>
                                  <w:color w:val="333333"/>
                                  <w:sz w:val="18"/>
                                  <w:szCs w:val="18"/>
                                </w:rPr>
                                <w:t xml:space="preserve"> both in terms of the involvement of the TDA in the process, as they felt it would not be independent and the fact that CCGs were to be bound to something retrospectively, without discussion or agreement about the process or who should be involved. </w:t>
                              </w:r>
                              <w:r>
                                <w:rPr>
                                  <w:rFonts w:ascii="Arial" w:hAnsi="Arial" w:cs="Arial"/>
                                  <w:color w:val="333333"/>
                                  <w:sz w:val="18"/>
                                  <w:szCs w:val="18"/>
                                </w:rPr>
                                <w:br/>
                              </w:r>
                              <w:r>
                                <w:rPr>
                                  <w:rFonts w:ascii="Arial" w:hAnsi="Arial" w:cs="Arial"/>
                                  <w:color w:val="333333"/>
                                  <w:sz w:val="18"/>
                                  <w:szCs w:val="18"/>
                                </w:rPr>
                                <w:br/>
                                <w:t xml:space="preserve">I tested this with the NHSCC Leadership Group and in particularly the concerns about the conflicted nature of the involvement of the TDA came up most strongly. I therefore took the opportunity to put these concerns to NHS England and you will see in their reply that we can expect a further response. We feel that there is a really important concern here about the governance of this process and the nature of the involvement of the TDA and NHS England. Again, your thoughts would be appreciated and we will of course keep you </w:t>
                              </w:r>
                              <w:proofErr w:type="gramStart"/>
                              <w:r>
                                <w:rPr>
                                  <w:rFonts w:ascii="Arial" w:hAnsi="Arial" w:cs="Arial"/>
                                  <w:color w:val="333333"/>
                                  <w:sz w:val="18"/>
                                  <w:szCs w:val="18"/>
                                </w:rPr>
                                <w:t>appraised</w:t>
                              </w:r>
                              <w:proofErr w:type="gramEnd"/>
                              <w:r>
                                <w:rPr>
                                  <w:rFonts w:ascii="Arial" w:hAnsi="Arial" w:cs="Arial"/>
                                  <w:color w:val="333333"/>
                                  <w:sz w:val="18"/>
                                  <w:szCs w:val="18"/>
                                </w:rPr>
                                <w:t xml:space="preserve"> of this key issue as it progresses.  </w:t>
                              </w:r>
                              <w:r>
                                <w:rPr>
                                  <w:rFonts w:ascii="Arial" w:hAnsi="Arial" w:cs="Arial"/>
                                  <w:color w:val="333333"/>
                                  <w:sz w:val="18"/>
                                  <w:szCs w:val="18"/>
                                </w:rPr>
                                <w:br/>
                              </w:r>
                              <w:r>
                                <w:rPr>
                                  <w:rFonts w:ascii="Arial" w:hAnsi="Arial" w:cs="Arial"/>
                                  <w:color w:val="333333"/>
                                  <w:sz w:val="18"/>
                                  <w:szCs w:val="18"/>
                                </w:rPr>
                                <w:br/>
                                <w:t xml:space="preserve">As well as sending this to you, our CCG Leaders by email, I will also post it on the member only area of our website. Please do therefore respond either via </w:t>
                              </w:r>
                              <w:hyperlink r:id="rId17" w:history="1">
                                <w:r>
                                  <w:rPr>
                                    <w:rStyle w:val="Hyperlink"/>
                                    <w:rFonts w:ascii="Arial" w:hAnsi="Arial" w:cs="Arial"/>
                                    <w:color w:val="008AC4"/>
                                    <w:sz w:val="18"/>
                                    <w:szCs w:val="18"/>
                                  </w:rPr>
                                  <w:t>office@nhscc.org</w:t>
                                </w:r>
                              </w:hyperlink>
                              <w:r>
                                <w:rPr>
                                  <w:rFonts w:ascii="Arial" w:hAnsi="Arial" w:cs="Arial"/>
                                  <w:color w:val="333333"/>
                                  <w:sz w:val="18"/>
                                  <w:szCs w:val="18"/>
                                </w:rPr>
                                <w:t xml:space="preserve"> or via the </w:t>
                              </w:r>
                              <w:hyperlink r:id="rId18" w:history="1">
                                <w:r>
                                  <w:rPr>
                                    <w:rStyle w:val="Hyperlink"/>
                                    <w:rFonts w:ascii="Arial" w:hAnsi="Arial" w:cs="Arial"/>
                                    <w:color w:val="008AC4"/>
                                    <w:sz w:val="18"/>
                                    <w:szCs w:val="18"/>
                                  </w:rPr>
                                  <w:t>member only area of the site</w:t>
                                </w:r>
                              </w:hyperlink>
                              <w:r>
                                <w:rPr>
                                  <w:rFonts w:ascii="Arial" w:hAnsi="Arial" w:cs="Arial"/>
                                  <w:color w:val="333333"/>
                                  <w:sz w:val="18"/>
                                  <w:szCs w:val="18"/>
                                </w:rPr>
                                <w:t xml:space="preserve">. NHSCC is the independent collective voice of CCGs and we are strongly member led. Your view and opinion as to our next steps is vitally important. Our next Leadership Group meeting is Wednesday 26th March and we will be discussing this there. A number of CCG Leaders within the Leadership Group will then go onto No 10 for a meeting with the Prime Ministers Special Advisor on Health. </w:t>
                              </w:r>
                              <w:r>
                                <w:rPr>
                                  <w:rFonts w:ascii="Arial" w:hAnsi="Arial" w:cs="Arial"/>
                                  <w:color w:val="333333"/>
                                  <w:sz w:val="18"/>
                                  <w:szCs w:val="18"/>
                                </w:rPr>
                                <w:br/>
                              </w:r>
                              <w:r>
                                <w:rPr>
                                  <w:rFonts w:ascii="Arial" w:hAnsi="Arial" w:cs="Arial"/>
                                  <w:color w:val="333333"/>
                                  <w:sz w:val="18"/>
                                  <w:szCs w:val="18"/>
                                </w:rPr>
                                <w:br/>
                                <w:t>We look forward to hearing from you.</w:t>
                              </w:r>
                              <w:r>
                                <w:rPr>
                                  <w:rFonts w:ascii="Arial" w:hAnsi="Arial" w:cs="Arial"/>
                                  <w:color w:val="333333"/>
                                  <w:sz w:val="18"/>
                                  <w:szCs w:val="18"/>
                                </w:rPr>
                                <w:br/>
                              </w:r>
                              <w:r>
                                <w:rPr>
                                  <w:rFonts w:ascii="Arial" w:hAnsi="Arial" w:cs="Arial"/>
                                  <w:color w:val="333333"/>
                                  <w:sz w:val="18"/>
                                  <w:szCs w:val="18"/>
                                </w:rPr>
                                <w:br/>
                                <w:t>Julie Wood</w:t>
                              </w:r>
                              <w:r>
                                <w:rPr>
                                  <w:rFonts w:ascii="Arial" w:hAnsi="Arial" w:cs="Arial"/>
                                  <w:color w:val="333333"/>
                                  <w:sz w:val="18"/>
                                  <w:szCs w:val="18"/>
                                </w:rPr>
                                <w:br/>
                              </w:r>
                              <w:r>
                                <w:rPr>
                                  <w:rFonts w:ascii="Arial" w:hAnsi="Arial" w:cs="Arial"/>
                                  <w:i/>
                                  <w:iCs/>
                                  <w:color w:val="333333"/>
                                  <w:sz w:val="18"/>
                                  <w:szCs w:val="18"/>
                                </w:rPr>
                                <w:t>Director</w:t>
                              </w:r>
                              <w:r>
                                <w:rPr>
                                  <w:rFonts w:ascii="Arial" w:hAnsi="Arial" w:cs="Arial"/>
                                  <w:color w:val="333333"/>
                                  <w:sz w:val="18"/>
                                  <w:szCs w:val="18"/>
                                </w:rPr>
                                <w:t xml:space="preserve"> </w:t>
                              </w:r>
                            </w:p>
                          </w:tc>
                        </w:tr>
                      </w:tbl>
                      <w:p w:rsidR="00D24962" w:rsidRDefault="00D24962"/>
                    </w:tc>
                  </w:tr>
                </w:tbl>
                <w:p w:rsidR="00D24962" w:rsidRDefault="00D24962">
                  <w:pPr>
                    <w:rPr>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24962">
                    <w:trPr>
                      <w:tblCellSpacing w:w="0" w:type="dxa"/>
                    </w:trPr>
                    <w:tc>
                      <w:tcPr>
                        <w:tcW w:w="8250" w:type="dxa"/>
                        <w:vAlign w:val="center"/>
                        <w:hideMark/>
                      </w:tcPr>
                      <w:p w:rsidR="00D24962" w:rsidRDefault="00D24962">
                        <w:pPr>
                          <w:rPr>
                            <w:sz w:val="2"/>
                            <w:szCs w:val="2"/>
                          </w:rPr>
                        </w:pPr>
                        <w:r>
                          <w:rPr>
                            <w:noProof/>
                            <w:sz w:val="2"/>
                            <w:szCs w:val="2"/>
                          </w:rPr>
                          <w:drawing>
                            <wp:inline distT="0" distB="0" distL="0" distR="0">
                              <wp:extent cx="95250" cy="95250"/>
                              <wp:effectExtent l="0" t="0" r="0" b="0"/>
                              <wp:docPr id="4" name="Picture 4" descr="http://i.emlfiles5.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emlfiles5.com/cmpimg/t/s.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rsidR="00D24962" w:rsidRDefault="00D24962">
                  <w:pPr>
                    <w:rPr>
                      <w:vanish/>
                    </w:rPr>
                  </w:pPr>
                </w:p>
                <w:tbl>
                  <w:tblPr>
                    <w:tblW w:w="5000" w:type="pct"/>
                    <w:tblCellSpacing w:w="0" w:type="dxa"/>
                    <w:shd w:val="clear" w:color="auto" w:fill="008AC4"/>
                    <w:tblCellMar>
                      <w:left w:w="0" w:type="dxa"/>
                      <w:right w:w="0" w:type="dxa"/>
                    </w:tblCellMar>
                    <w:tblLook w:val="04A0" w:firstRow="1" w:lastRow="0" w:firstColumn="1" w:lastColumn="0" w:noHBand="0" w:noVBand="1"/>
                  </w:tblPr>
                  <w:tblGrid>
                    <w:gridCol w:w="9026"/>
                  </w:tblGrid>
                  <w:tr w:rsidR="00D24962">
                    <w:trPr>
                      <w:tblCellSpacing w:w="0" w:type="dxa"/>
                    </w:trPr>
                    <w:tc>
                      <w:tcPr>
                        <w:tcW w:w="8250" w:type="dxa"/>
                        <w:shd w:val="clear" w:color="auto" w:fill="008AC4"/>
                        <w:vAlign w:val="center"/>
                        <w:hideMark/>
                      </w:tcPr>
                      <w:p w:rsidR="00D24962" w:rsidRDefault="00D24962">
                        <w:pPr>
                          <w:rPr>
                            <w:sz w:val="2"/>
                            <w:szCs w:val="2"/>
                          </w:rPr>
                        </w:pPr>
                        <w:r>
                          <w:rPr>
                            <w:noProof/>
                            <w:sz w:val="2"/>
                            <w:szCs w:val="2"/>
                          </w:rPr>
                          <w:drawing>
                            <wp:inline distT="0" distB="0" distL="0" distR="0">
                              <wp:extent cx="95250" cy="95250"/>
                              <wp:effectExtent l="0" t="0" r="0" b="0"/>
                              <wp:docPr id="3" name="Picture 3" descr="http://i.emlfiles5.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emlfiles5.com/cmpimg/t/s.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rsidR="00D24962" w:rsidRDefault="00D24962">
                  <w:pPr>
                    <w:rPr>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D24962">
                    <w:trPr>
                      <w:tblCellSpacing w:w="0" w:type="dxa"/>
                    </w:trPr>
                    <w:tc>
                      <w:tcPr>
                        <w:tcW w:w="8250" w:type="dxa"/>
                        <w:vAlign w:val="center"/>
                        <w:hideMark/>
                      </w:tcPr>
                      <w:p w:rsidR="00D24962" w:rsidRDefault="00D24962">
                        <w:pPr>
                          <w:rPr>
                            <w:sz w:val="2"/>
                            <w:szCs w:val="2"/>
                          </w:rPr>
                        </w:pPr>
                        <w:r>
                          <w:rPr>
                            <w:noProof/>
                            <w:sz w:val="2"/>
                            <w:szCs w:val="2"/>
                          </w:rPr>
                          <w:drawing>
                            <wp:inline distT="0" distB="0" distL="0" distR="0">
                              <wp:extent cx="95250" cy="47625"/>
                              <wp:effectExtent l="0" t="0" r="0" b="0"/>
                              <wp:docPr id="2" name="Picture 2" descr="http://i.emlfiles5.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emlfiles5.com/cmpimg/t/s.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inline>
                          </w:drawing>
                        </w:r>
                      </w:p>
                    </w:tc>
                  </w:tr>
                </w:tbl>
                <w:p w:rsidR="00D24962" w:rsidRDefault="00D24962"/>
              </w:tc>
            </w:tr>
          </w:tbl>
          <w:p w:rsidR="00D24962" w:rsidRDefault="00D24962"/>
          <w:tbl>
            <w:tblPr>
              <w:tblW w:w="5000" w:type="pct"/>
              <w:tblCellSpacing w:w="0" w:type="dxa"/>
              <w:tblCellMar>
                <w:left w:w="0" w:type="dxa"/>
                <w:right w:w="0" w:type="dxa"/>
              </w:tblCellMar>
              <w:tblLook w:val="04A0" w:firstRow="1" w:lastRow="0" w:firstColumn="1" w:lastColumn="0" w:noHBand="0" w:noVBand="1"/>
            </w:tblPr>
            <w:tblGrid>
              <w:gridCol w:w="2671"/>
              <w:gridCol w:w="120"/>
              <w:gridCol w:w="6235"/>
            </w:tblGrid>
            <w:tr w:rsidR="00D24962">
              <w:trPr>
                <w:tblCellSpacing w:w="0" w:type="dxa"/>
              </w:trPr>
              <w:tc>
                <w:tcPr>
                  <w:tcW w:w="1500" w:type="pct"/>
                  <w:hideMark/>
                </w:tcPr>
                <w:tbl>
                  <w:tblPr>
                    <w:tblW w:w="2430" w:type="dxa"/>
                    <w:tblCellSpacing w:w="0" w:type="dxa"/>
                    <w:tblCellMar>
                      <w:left w:w="0" w:type="dxa"/>
                      <w:right w:w="0" w:type="dxa"/>
                    </w:tblCellMar>
                    <w:tblLook w:val="04A0" w:firstRow="1" w:lastRow="0" w:firstColumn="1" w:lastColumn="0" w:noHBand="0" w:noVBand="1"/>
                  </w:tblPr>
                  <w:tblGrid>
                    <w:gridCol w:w="2430"/>
                  </w:tblGrid>
                  <w:tr w:rsidR="00D24962">
                    <w:trPr>
                      <w:tblCellSpacing w:w="0" w:type="dxa"/>
                    </w:trPr>
                    <w:tc>
                      <w:tcPr>
                        <w:tcW w:w="6" w:type="dxa"/>
                        <w:tcMar>
                          <w:top w:w="90" w:type="dxa"/>
                          <w:left w:w="90" w:type="dxa"/>
                          <w:bottom w:w="90" w:type="dxa"/>
                          <w:right w:w="90" w:type="dxa"/>
                        </w:tcMar>
                        <w:hideMark/>
                      </w:tcPr>
                      <w:p w:rsidR="00D24962" w:rsidRDefault="00D24962">
                        <w:r>
                          <w:rPr>
                            <w:rFonts w:ascii="Arial" w:hAnsi="Arial" w:cs="Arial"/>
                            <w:b/>
                            <w:bCs/>
                            <w:color w:val="666666"/>
                            <w:sz w:val="17"/>
                            <w:szCs w:val="17"/>
                          </w:rPr>
                          <w:t>We want to hear from you!</w:t>
                        </w:r>
                        <w:r>
                          <w:rPr>
                            <w:rFonts w:ascii="Arial" w:hAnsi="Arial" w:cs="Arial"/>
                            <w:b/>
                            <w:bCs/>
                            <w:sz w:val="17"/>
                            <w:szCs w:val="17"/>
                          </w:rPr>
                          <w:br/>
                        </w:r>
                        <w:r>
                          <w:rPr>
                            <w:rFonts w:ascii="Arial" w:hAnsi="Arial" w:cs="Arial"/>
                            <w:color w:val="666666"/>
                            <w:sz w:val="17"/>
                            <w:szCs w:val="17"/>
                          </w:rPr>
                          <w:t xml:space="preserve">Let us know what you like in NHSCC Connect? Are there other items you would like covered? Got brickbats you want to throw (or bouquets)? Do let us know at </w:t>
                        </w:r>
                        <w:hyperlink r:id="rId19" w:history="1">
                          <w:r>
                            <w:rPr>
                              <w:rStyle w:val="Hyperlink"/>
                              <w:rFonts w:ascii="Arial" w:hAnsi="Arial" w:cs="Arial"/>
                              <w:color w:val="666666"/>
                              <w:sz w:val="17"/>
                              <w:szCs w:val="17"/>
                            </w:rPr>
                            <w:t>press@nhscc.org</w:t>
                          </w:r>
                        </w:hyperlink>
                        <w:r>
                          <w:br/>
                        </w:r>
                        <w:r>
                          <w:rPr>
                            <w:rFonts w:ascii="Arial" w:hAnsi="Arial" w:cs="Arial"/>
                            <w:b/>
                            <w:bCs/>
                            <w:sz w:val="17"/>
                            <w:szCs w:val="17"/>
                          </w:rPr>
                          <w:br/>
                        </w:r>
                        <w:hyperlink r:id="rId20" w:history="1">
                          <w:r>
                            <w:rPr>
                              <w:rStyle w:val="Hyperlink"/>
                              <w:rFonts w:ascii="Arial" w:hAnsi="Arial" w:cs="Arial"/>
                              <w:color w:val="666666"/>
                              <w:sz w:val="17"/>
                              <w:szCs w:val="17"/>
                            </w:rPr>
                            <w:t>Visit the NHSCC website</w:t>
                          </w:r>
                        </w:hyperlink>
                      </w:p>
                    </w:tc>
                  </w:tr>
                </w:tbl>
                <w:p w:rsidR="00D24962" w:rsidRDefault="00D24962">
                  <w:pPr>
                    <w:rPr>
                      <w:rFonts w:eastAsia="Times New Roman"/>
                      <w:sz w:val="20"/>
                      <w:szCs w:val="20"/>
                    </w:rPr>
                  </w:pPr>
                </w:p>
              </w:tc>
              <w:tc>
                <w:tcPr>
                  <w:tcW w:w="135" w:type="dxa"/>
                  <w:hideMark/>
                </w:tcPr>
                <w:p w:rsidR="00D24962" w:rsidRDefault="00D24962">
                  <w:r>
                    <w:rPr>
                      <w:noProof/>
                    </w:rPr>
                    <w:drawing>
                      <wp:inline distT="0" distB="0" distL="0" distR="0">
                        <wp:extent cx="76200" cy="95250"/>
                        <wp:effectExtent l="0" t="0" r="0" b="0"/>
                        <wp:docPr id="1" name="Picture 1" descr="http://i.emlfiles5.com/cmpimg/2008/1585/915357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emlfiles5.com/cmpimg/2008/1585/915357_spacer.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3500" w:type="pct"/>
                  <w:hideMark/>
                </w:tcPr>
                <w:tbl>
                  <w:tblPr>
                    <w:tblW w:w="5685" w:type="dxa"/>
                    <w:tblCellSpacing w:w="0" w:type="dxa"/>
                    <w:tblCellMar>
                      <w:left w:w="0" w:type="dxa"/>
                      <w:right w:w="0" w:type="dxa"/>
                    </w:tblCellMar>
                    <w:tblLook w:val="04A0" w:firstRow="1" w:lastRow="0" w:firstColumn="1" w:lastColumn="0" w:noHBand="0" w:noVBand="1"/>
                  </w:tblPr>
                  <w:tblGrid>
                    <w:gridCol w:w="5685"/>
                  </w:tblGrid>
                  <w:tr w:rsidR="00D24962">
                    <w:trPr>
                      <w:tblCellSpacing w:w="0" w:type="dxa"/>
                    </w:trPr>
                    <w:tc>
                      <w:tcPr>
                        <w:tcW w:w="6" w:type="dxa"/>
                        <w:tcMar>
                          <w:top w:w="90" w:type="dxa"/>
                          <w:left w:w="90" w:type="dxa"/>
                          <w:bottom w:w="90" w:type="dxa"/>
                          <w:right w:w="90" w:type="dxa"/>
                        </w:tcMar>
                        <w:hideMark/>
                      </w:tcPr>
                      <w:p w:rsidR="00D24962" w:rsidRDefault="00D24962">
                        <w:r>
                          <w:rPr>
                            <w:rFonts w:ascii="Arial" w:hAnsi="Arial" w:cs="Arial"/>
                            <w:b/>
                            <w:bCs/>
                            <w:color w:val="666666"/>
                            <w:sz w:val="17"/>
                            <w:szCs w:val="17"/>
                          </w:rPr>
                          <w:t>Are you on Twitter?</w:t>
                        </w:r>
                        <w:r>
                          <w:rPr>
                            <w:rFonts w:ascii="Arial" w:hAnsi="Arial" w:cs="Arial"/>
                            <w:b/>
                            <w:bCs/>
                            <w:sz w:val="17"/>
                            <w:szCs w:val="17"/>
                          </w:rPr>
                          <w:br/>
                        </w:r>
                        <w:r>
                          <w:rPr>
                            <w:rFonts w:ascii="Arial" w:hAnsi="Arial" w:cs="Arial"/>
                            <w:color w:val="666666"/>
                            <w:sz w:val="17"/>
                            <w:szCs w:val="17"/>
                          </w:rPr>
                          <w:t xml:space="preserve">We are keen to make sure we know which CCGs are on twitter so we can you follow you. We have a list of CCGs and CCG people here. And you can follow us </w:t>
                        </w:r>
                        <w:hyperlink r:id="rId21" w:history="1">
                          <w:r>
                            <w:rPr>
                              <w:rStyle w:val="Hyperlink"/>
                              <w:rFonts w:ascii="Arial" w:hAnsi="Arial" w:cs="Arial"/>
                              <w:color w:val="666666"/>
                              <w:sz w:val="17"/>
                              <w:szCs w:val="17"/>
                            </w:rPr>
                            <w:t>@</w:t>
                          </w:r>
                          <w:proofErr w:type="spellStart"/>
                          <w:r>
                            <w:rPr>
                              <w:rStyle w:val="Hyperlink"/>
                              <w:rFonts w:ascii="Arial" w:hAnsi="Arial" w:cs="Arial"/>
                              <w:color w:val="666666"/>
                              <w:sz w:val="17"/>
                              <w:szCs w:val="17"/>
                            </w:rPr>
                            <w:t>NHSCCPress</w:t>
                          </w:r>
                          <w:proofErr w:type="spellEnd"/>
                        </w:hyperlink>
                        <w:r>
                          <w:rPr>
                            <w:rFonts w:ascii="Arial" w:hAnsi="Arial" w:cs="Arial"/>
                            <w:b/>
                            <w:bCs/>
                            <w:color w:val="666666"/>
                            <w:sz w:val="17"/>
                            <w:szCs w:val="17"/>
                          </w:rPr>
                          <w:br/>
                        </w:r>
                        <w:r>
                          <w:rPr>
                            <w:rFonts w:ascii="Arial" w:hAnsi="Arial" w:cs="Arial"/>
                            <w:b/>
                            <w:bCs/>
                            <w:color w:val="666666"/>
                            <w:sz w:val="17"/>
                            <w:szCs w:val="17"/>
                          </w:rPr>
                          <w:br/>
                          <w:t>Our mailing address is</w:t>
                        </w:r>
                        <w:proofErr w:type="gramStart"/>
                        <w:r>
                          <w:rPr>
                            <w:rFonts w:ascii="Arial" w:hAnsi="Arial" w:cs="Arial"/>
                            <w:b/>
                            <w:bCs/>
                            <w:color w:val="666666"/>
                            <w:sz w:val="17"/>
                            <w:szCs w:val="17"/>
                          </w:rPr>
                          <w:t>:</w:t>
                        </w:r>
                        <w:proofErr w:type="gramEnd"/>
                        <w:r>
                          <w:rPr>
                            <w:rFonts w:ascii="Arial" w:hAnsi="Arial" w:cs="Arial"/>
                          </w:rPr>
                          <w:br/>
                        </w:r>
                        <w:r>
                          <w:rPr>
                            <w:rFonts w:ascii="Arial" w:hAnsi="Arial" w:cs="Arial"/>
                            <w:color w:val="666666"/>
                            <w:sz w:val="17"/>
                            <w:szCs w:val="17"/>
                          </w:rPr>
                          <w:t>NHS Clinical Commissioners, 50 Broadway, London SW1H 0DB, UK</w:t>
                        </w:r>
                        <w:r>
                          <w:rPr>
                            <w:rFonts w:ascii="Arial" w:hAnsi="Arial" w:cs="Arial"/>
                            <w:color w:val="666666"/>
                            <w:sz w:val="17"/>
                            <w:szCs w:val="17"/>
                          </w:rPr>
                          <w:br/>
                        </w:r>
                        <w:r>
                          <w:rPr>
                            <w:rFonts w:ascii="Arial" w:hAnsi="Arial" w:cs="Arial"/>
                          </w:rPr>
                          <w:br/>
                        </w:r>
                        <w:r>
                          <w:rPr>
                            <w:rFonts w:ascii="Arial" w:hAnsi="Arial" w:cs="Arial"/>
                            <w:color w:val="666666"/>
                            <w:sz w:val="17"/>
                            <w:szCs w:val="17"/>
                          </w:rPr>
                          <w:t>You are receiving this newsletter as your CCG is a member of NHS Clinical Commissioners.</w:t>
                        </w:r>
                        <w:r>
                          <w:t xml:space="preserve"> </w:t>
                        </w:r>
                        <w:hyperlink r:id="rId22" w:tooltip="Unsubscribe" w:history="1">
                          <w:r>
                            <w:rPr>
                              <w:rStyle w:val="Hyperlink"/>
                              <w:rFonts w:ascii="Arial" w:hAnsi="Arial" w:cs="Arial"/>
                              <w:color w:val="666666"/>
                              <w:sz w:val="17"/>
                              <w:szCs w:val="17"/>
                            </w:rPr>
                            <w:t>Unsubscribe</w:t>
                          </w:r>
                        </w:hyperlink>
                        <w:r>
                          <w:rPr>
                            <w:rFonts w:ascii="Arial" w:hAnsi="Arial" w:cs="Arial"/>
                            <w:color w:val="666666"/>
                            <w:sz w:val="17"/>
                            <w:szCs w:val="17"/>
                          </w:rPr>
                          <w:t xml:space="preserve"> | </w:t>
                        </w:r>
                        <w:hyperlink r:id="rId23" w:tooltip="Forward to a friend" w:history="1">
                          <w:r>
                            <w:rPr>
                              <w:rStyle w:val="Hyperlink"/>
                              <w:rFonts w:ascii="Arial" w:hAnsi="Arial" w:cs="Arial"/>
                              <w:color w:val="666666"/>
                              <w:sz w:val="17"/>
                              <w:szCs w:val="17"/>
                            </w:rPr>
                            <w:t>Forward to a friend</w:t>
                          </w:r>
                        </w:hyperlink>
                        <w:r>
                          <w:br/>
                        </w:r>
                        <w:r>
                          <w:br/>
                        </w:r>
                        <w:r>
                          <w:rPr>
                            <w:rFonts w:ascii="Arial" w:hAnsi="Arial" w:cs="Arial"/>
                            <w:color w:val="666666"/>
                            <w:sz w:val="17"/>
                            <w:szCs w:val="17"/>
                          </w:rPr>
                          <w:t>Copyright © 2014 NHS Clinical Commissioners, All rights reserved.</w:t>
                        </w:r>
                      </w:p>
                    </w:tc>
                  </w:tr>
                </w:tbl>
                <w:p w:rsidR="00D24962" w:rsidRDefault="00D24962">
                  <w:pPr>
                    <w:rPr>
                      <w:rFonts w:eastAsia="Times New Roman"/>
                      <w:sz w:val="20"/>
                      <w:szCs w:val="20"/>
                    </w:rPr>
                  </w:pPr>
                </w:p>
              </w:tc>
            </w:tr>
          </w:tbl>
          <w:p w:rsidR="00D24962" w:rsidRDefault="00D24962"/>
        </w:tc>
      </w:tr>
    </w:tbl>
    <w:p w:rsidR="00972974" w:rsidRDefault="00972974">
      <w:bookmarkStart w:id="0" w:name="_GoBack"/>
      <w:bookmarkEnd w:id="0"/>
    </w:p>
    <w:sectPr w:rsidR="00972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62"/>
    <w:rsid w:val="005F747A"/>
    <w:rsid w:val="007210E0"/>
    <w:rsid w:val="00972974"/>
    <w:rsid w:val="00D2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62"/>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962"/>
    <w:rPr>
      <w:color w:val="0000FF"/>
      <w:u w:val="single"/>
    </w:rPr>
  </w:style>
  <w:style w:type="paragraph" w:styleId="BalloonText">
    <w:name w:val="Balloon Text"/>
    <w:basedOn w:val="Normal"/>
    <w:link w:val="BalloonTextChar"/>
    <w:uiPriority w:val="99"/>
    <w:semiHidden/>
    <w:unhideWhenUsed/>
    <w:rsid w:val="00D24962"/>
    <w:rPr>
      <w:rFonts w:ascii="Tahoma" w:hAnsi="Tahoma" w:cs="Tahoma"/>
      <w:sz w:val="16"/>
      <w:szCs w:val="16"/>
    </w:rPr>
  </w:style>
  <w:style w:type="character" w:customStyle="1" w:styleId="BalloonTextChar">
    <w:name w:val="Balloon Text Char"/>
    <w:basedOn w:val="DefaultParagraphFont"/>
    <w:link w:val="BalloonText"/>
    <w:uiPriority w:val="99"/>
    <w:semiHidden/>
    <w:rsid w:val="00D24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62"/>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962"/>
    <w:rPr>
      <w:color w:val="0000FF"/>
      <w:u w:val="single"/>
    </w:rPr>
  </w:style>
  <w:style w:type="paragraph" w:styleId="BalloonText">
    <w:name w:val="Balloon Text"/>
    <w:basedOn w:val="Normal"/>
    <w:link w:val="BalloonTextChar"/>
    <w:uiPriority w:val="99"/>
    <w:semiHidden/>
    <w:unhideWhenUsed/>
    <w:rsid w:val="00D24962"/>
    <w:rPr>
      <w:rFonts w:ascii="Tahoma" w:hAnsi="Tahoma" w:cs="Tahoma"/>
      <w:sz w:val="16"/>
      <w:szCs w:val="16"/>
    </w:rPr>
  </w:style>
  <w:style w:type="character" w:customStyle="1" w:styleId="BalloonTextChar">
    <w:name w:val="Balloon Text Char"/>
    <w:basedOn w:val="DefaultParagraphFont"/>
    <w:link w:val="BalloonText"/>
    <w:uiPriority w:val="99"/>
    <w:semiHidden/>
    <w:rsid w:val="00D24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ail-update.net/20PM-2AJES-B3EYYYX9A8-1/fw.aspx" TargetMode="External"/><Relationship Id="rId13" Type="http://schemas.openxmlformats.org/officeDocument/2006/relationships/image" Target="media/image4.gif"/><Relationship Id="rId18" Type="http://schemas.openxmlformats.org/officeDocument/2006/relationships/hyperlink" Target="http://email-update.net/20PM-2AJES-EYYYX9-ZBMO8-1/c.aspx" TargetMode="External"/><Relationship Id="rId3" Type="http://schemas.openxmlformats.org/officeDocument/2006/relationships/settings" Target="settings.xml"/><Relationship Id="rId21" Type="http://schemas.openxmlformats.org/officeDocument/2006/relationships/hyperlink" Target="http://email-update.net/20PM-2AJES-EYYYX9-ZBLPP-1/c.aspx" TargetMode="External"/><Relationship Id="rId7" Type="http://schemas.openxmlformats.org/officeDocument/2006/relationships/hyperlink" Target="http://email-update.net/20PM-2AJES-B3EYYYX9A8/cr.aspx" TargetMode="External"/><Relationship Id="rId12" Type="http://schemas.openxmlformats.org/officeDocument/2006/relationships/image" Target="cid:image003.png@01CF4519.472EC4A0" TargetMode="External"/><Relationship Id="rId17" Type="http://schemas.openxmlformats.org/officeDocument/2006/relationships/hyperlink" Target="mailto:office@nhscc.or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email-update.net/20PM-2AJES-EYYYX9-ZBMO9-1/c.aspx" TargetMode="External"/><Relationship Id="rId20" Type="http://schemas.openxmlformats.org/officeDocument/2006/relationships/hyperlink" Target="http://email-update.net/20PM-2AJES-EYYYX9-ZBLPN-1/c.aspx" TargetMode="External"/><Relationship Id="rId1" Type="http://schemas.openxmlformats.org/officeDocument/2006/relationships/styles" Target="styles.xml"/><Relationship Id="rId6" Type="http://schemas.openxmlformats.org/officeDocument/2006/relationships/image" Target="cid:image001.png@01CF4519.472EC4A0" TargetMode="Externa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email-update.net/20PM-2AJES-EYYYX9-ZBMOA-1/c.aspx" TargetMode="External"/><Relationship Id="rId23" Type="http://schemas.openxmlformats.org/officeDocument/2006/relationships/hyperlink" Target="http://email-update.net/20PM-2AJES-B3EYYYX9A8-1/fw.aspx" TargetMode="External"/><Relationship Id="rId10" Type="http://schemas.openxmlformats.org/officeDocument/2006/relationships/image" Target="cid:image002.jpg@01CF4519.472EC4A0" TargetMode="External"/><Relationship Id="rId19" Type="http://schemas.openxmlformats.org/officeDocument/2006/relationships/hyperlink" Target="mailto:press@nhscc.org?subject=NHSCC%20Connect%20e-sho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4.png@01CF4519.472EC4A0" TargetMode="External"/><Relationship Id="rId22" Type="http://schemas.openxmlformats.org/officeDocument/2006/relationships/hyperlink" Target="http://email-update.net/20PM-2AJES-B3EYYYX9A8/u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1283</Words>
  <Characters>7318</Characters>
  <Application>Microsoft Office Word</Application>
  <DocSecurity>0</DocSecurity>
  <Lines>60</Lines>
  <Paragraphs>17</Paragraphs>
  <ScaleCrop>false</ScaleCrop>
  <Company>eMAP</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Williams</dc:creator>
  <cp:lastModifiedBy>David Williams</cp:lastModifiedBy>
  <cp:revision>1</cp:revision>
  <dcterms:created xsi:type="dcterms:W3CDTF">2014-03-31T09:29:00Z</dcterms:created>
  <dcterms:modified xsi:type="dcterms:W3CDTF">2014-03-31T09:30:00Z</dcterms:modified>
</cp:coreProperties>
</file>